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0E61F" w14:textId="4F1B2BCE" w:rsidR="0027487D" w:rsidRPr="00F50D87" w:rsidRDefault="00E84CF6" w:rsidP="0027487D">
      <w:pPr>
        <w:ind w:left="567"/>
        <w:rPr>
          <w:rFonts w:eastAsia="Calibri"/>
          <w:color w:val="000000"/>
          <w:u w:color="000000"/>
          <w:lang w:eastAsia="en-GB"/>
          <w14:textOutline w14:w="0" w14:cap="flat" w14:cmpd="sng" w14:algn="ctr">
            <w14:noFill/>
            <w14:prstDash w14:val="solid"/>
            <w14:bevel/>
          </w14:textOutline>
        </w:rPr>
      </w:pPr>
      <w:r>
        <w:rPr>
          <w:noProof/>
        </w:rPr>
        <w:drawing>
          <wp:anchor distT="0" distB="0" distL="114300" distR="114300" simplePos="0" relativeHeight="251665407" behindDoc="0" locked="0" layoutInCell="1" allowOverlap="1" wp14:anchorId="468276BE" wp14:editId="2AFFF6A0">
            <wp:simplePos x="0" y="0"/>
            <wp:positionH relativeFrom="column">
              <wp:posOffset>-571500</wp:posOffset>
            </wp:positionH>
            <wp:positionV relativeFrom="paragraph">
              <wp:posOffset>-514350</wp:posOffset>
            </wp:positionV>
            <wp:extent cx="7696847" cy="10887075"/>
            <wp:effectExtent l="0" t="0" r="0" b="0"/>
            <wp:wrapNone/>
            <wp:docPr id="2030713249"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713249" name="Picture 3" descr="A close-up of a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696847" cy="10887075"/>
                    </a:xfrm>
                    <a:prstGeom prst="rect">
                      <a:avLst/>
                    </a:prstGeom>
                  </pic:spPr>
                </pic:pic>
              </a:graphicData>
            </a:graphic>
            <wp14:sizeRelH relativeFrom="margin">
              <wp14:pctWidth>0</wp14:pctWidth>
            </wp14:sizeRelH>
            <wp14:sizeRelV relativeFrom="margin">
              <wp14:pctHeight>0</wp14:pctHeight>
            </wp14:sizeRelV>
          </wp:anchor>
        </w:drawing>
      </w:r>
      <w:r w:rsidR="00251A5B">
        <w:rPr>
          <w:noProof/>
        </w:rPr>
        <mc:AlternateContent>
          <mc:Choice Requires="wps">
            <w:drawing>
              <wp:anchor distT="45720" distB="45720" distL="114300" distR="114300" simplePos="0" relativeHeight="251666432" behindDoc="0" locked="0" layoutInCell="1" allowOverlap="1" wp14:anchorId="5989A941" wp14:editId="111FE512">
                <wp:simplePos x="0" y="0"/>
                <wp:positionH relativeFrom="column">
                  <wp:posOffset>-428625</wp:posOffset>
                </wp:positionH>
                <wp:positionV relativeFrom="paragraph">
                  <wp:posOffset>2571750</wp:posOffset>
                </wp:positionV>
                <wp:extent cx="7162800" cy="1404620"/>
                <wp:effectExtent l="0" t="0" r="0" b="0"/>
                <wp:wrapNone/>
                <wp:docPr id="5074220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1404620"/>
                        </a:xfrm>
                        <a:prstGeom prst="rect">
                          <a:avLst/>
                        </a:prstGeom>
                        <a:noFill/>
                        <a:ln w="9525">
                          <a:noFill/>
                          <a:miter lim="800000"/>
                          <a:headEnd/>
                          <a:tailEnd/>
                        </a:ln>
                      </wps:spPr>
                      <wps:txbx>
                        <w:txbxContent>
                          <w:p w14:paraId="48A55B6A" w14:textId="77777777" w:rsidR="0027487D" w:rsidRPr="00222AC3" w:rsidRDefault="0027487D" w:rsidP="0027487D">
                            <w:pPr>
                              <w:rPr>
                                <w:rFonts w:ascii="Arial" w:hAnsi="Arial" w:cs="Arial"/>
                                <w:b/>
                                <w:bCs/>
                                <w:color w:val="000000" w:themeColor="text1"/>
                                <w:sz w:val="96"/>
                                <w:szCs w:val="96"/>
                              </w:rPr>
                            </w:pPr>
                            <w:r w:rsidRPr="00222AC3">
                              <w:rPr>
                                <w:rFonts w:ascii="Arial" w:hAnsi="Arial" w:cs="Arial"/>
                                <w:b/>
                                <w:bCs/>
                                <w:color w:val="000000" w:themeColor="text1"/>
                                <w:sz w:val="96"/>
                                <w:szCs w:val="96"/>
                              </w:rPr>
                              <w:t>HCAT</w:t>
                            </w:r>
                          </w:p>
                          <w:p w14:paraId="2DC7EE05" w14:textId="6176F91D" w:rsidR="00A86D1F" w:rsidRDefault="00251A5B" w:rsidP="0055254D">
                            <w:r>
                              <w:rPr>
                                <w:rFonts w:ascii="Arial" w:hAnsi="Arial" w:cs="Arial"/>
                                <w:b/>
                                <w:bCs/>
                                <w:color w:val="000000" w:themeColor="text1"/>
                                <w:sz w:val="96"/>
                                <w:szCs w:val="96"/>
                              </w:rPr>
                              <w:t>Treasury Management, Investment and Reserves</w:t>
                            </w:r>
                            <w:r w:rsidR="0055254D" w:rsidRPr="0055254D">
                              <w:rPr>
                                <w:rFonts w:ascii="Arial" w:hAnsi="Arial" w:cs="Arial"/>
                                <w:b/>
                                <w:bCs/>
                                <w:color w:val="000000" w:themeColor="text1"/>
                                <w:sz w:val="96"/>
                                <w:szCs w:val="96"/>
                              </w:rPr>
                              <w:t xml:space="preserve">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89A941" id="_x0000_t202" coordsize="21600,21600" o:spt="202" path="m,l,21600r21600,l21600,xe">
                <v:stroke joinstyle="miter"/>
                <v:path gradientshapeok="t" o:connecttype="rect"/>
              </v:shapetype>
              <v:shape id="Text Box 2" o:spid="_x0000_s1026" type="#_x0000_t202" style="position:absolute;left:0;text-align:left;margin-left:-33.75pt;margin-top:202.5pt;width:564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" filled="f" stroked="f">
                <v:textbox style="mso-fit-shape-to-text:t">
                  <w:txbxContent>
                    <w:p w14:paraId="48A55B6A" w14:textId="77777777" w:rsidR="0027487D" w:rsidRPr="00222AC3" w:rsidRDefault="0027487D" w:rsidP="0027487D">
                      <w:pPr>
                        <w:rPr>
                          <w:rFonts w:ascii="Arial" w:hAnsi="Arial" w:cs="Arial"/>
                          <w:b/>
                          <w:bCs/>
                          <w:color w:val="000000" w:themeColor="text1"/>
                          <w:sz w:val="96"/>
                          <w:szCs w:val="96"/>
                        </w:rPr>
                      </w:pPr>
                      <w:r w:rsidRPr="00222AC3">
                        <w:rPr>
                          <w:rFonts w:ascii="Arial" w:hAnsi="Arial" w:cs="Arial"/>
                          <w:b/>
                          <w:bCs/>
                          <w:color w:val="000000" w:themeColor="text1"/>
                          <w:sz w:val="96"/>
                          <w:szCs w:val="96"/>
                        </w:rPr>
                        <w:t>HCAT</w:t>
                      </w:r>
                    </w:p>
                    <w:p w14:paraId="2DC7EE05" w14:textId="6176F91D" w:rsidR="00A86D1F" w:rsidRDefault="00251A5B" w:rsidP="0055254D">
                      <w:r>
                        <w:rPr>
                          <w:rFonts w:ascii="Arial" w:hAnsi="Arial" w:cs="Arial"/>
                          <w:b/>
                          <w:bCs/>
                          <w:color w:val="000000" w:themeColor="text1"/>
                          <w:sz w:val="96"/>
                          <w:szCs w:val="96"/>
                        </w:rPr>
                        <w:t>Treasury Management, Investment and Reserves</w:t>
                      </w:r>
                      <w:r w:rsidR="0055254D" w:rsidRPr="0055254D">
                        <w:rPr>
                          <w:rFonts w:ascii="Arial" w:hAnsi="Arial" w:cs="Arial"/>
                          <w:b/>
                          <w:bCs/>
                          <w:color w:val="000000" w:themeColor="text1"/>
                          <w:sz w:val="96"/>
                          <w:szCs w:val="96"/>
                        </w:rPr>
                        <w:t xml:space="preserve"> Policy</w:t>
                      </w:r>
                    </w:p>
                  </w:txbxContent>
                </v:textbox>
              </v:shape>
            </w:pict>
          </mc:Fallback>
        </mc:AlternateContent>
      </w:r>
      <w:sdt>
        <w:sdtPr>
          <w:id w:val="869182506"/>
          <w:docPartObj>
            <w:docPartGallery w:val="Cover Pages"/>
            <w:docPartUnique/>
          </w:docPartObj>
        </w:sdtPr>
        <w:sdtEndPr/>
        <w:sdtContent>
          <w:r w:rsidR="0027487D">
            <w:br w:type="page"/>
          </w:r>
        </w:sdtContent>
      </w:sdt>
    </w:p>
    <w:sdt>
      <w:sdtPr>
        <w:rPr>
          <w:rFonts w:ascii="Calibri" w:eastAsiaTheme="minorHAnsi" w:hAnsi="Calibri" w:cs="Calibri"/>
          <w:color w:val="auto"/>
          <w:kern w:val="2"/>
          <w:sz w:val="22"/>
          <w:szCs w:val="22"/>
          <w:lang w:val="en-GB"/>
          <w14:ligatures w14:val="standardContextual"/>
        </w:rPr>
        <w:id w:val="-1756658912"/>
        <w:docPartObj>
          <w:docPartGallery w:val="Table of Contents"/>
          <w:docPartUnique/>
        </w:docPartObj>
      </w:sdtPr>
      <w:sdtEndPr>
        <w:rPr>
          <w:b/>
          <w:bCs/>
          <w:noProof/>
        </w:rPr>
      </w:sdtEndPr>
      <w:sdtContent>
        <w:p w14:paraId="3FF9C145" w14:textId="4199FDB0" w:rsidR="00247A50" w:rsidRPr="00722719" w:rsidRDefault="00247A50">
          <w:pPr>
            <w:pStyle w:val="TOCHeading"/>
            <w:rPr>
              <w:rFonts w:ascii="Calibri" w:hAnsi="Calibri" w:cs="Calibri"/>
            </w:rPr>
          </w:pPr>
          <w:r w:rsidRPr="00722719">
            <w:rPr>
              <w:rFonts w:ascii="Calibri" w:hAnsi="Calibri" w:cs="Calibri"/>
            </w:rPr>
            <w:t>Contents</w:t>
          </w:r>
        </w:p>
        <w:p w14:paraId="7ED10AA3" w14:textId="72D7C697" w:rsidR="009E3165" w:rsidRPr="00722719" w:rsidRDefault="00247A50">
          <w:pPr>
            <w:pStyle w:val="TOC1"/>
            <w:tabs>
              <w:tab w:val="right" w:pos="10456"/>
            </w:tabs>
            <w:rPr>
              <w:rFonts w:eastAsiaTheme="minorEastAsia"/>
              <w:noProof/>
              <w:sz w:val="24"/>
              <w:szCs w:val="24"/>
              <w:lang w:eastAsia="en-GB"/>
            </w:rPr>
          </w:pPr>
          <w:r w:rsidRPr="00722719">
            <w:fldChar w:fldCharType="begin"/>
          </w:r>
          <w:r w:rsidRPr="00722719">
            <w:instrText xml:space="preserve"> TOC \o "1-3" \h \z \u </w:instrText>
          </w:r>
          <w:r w:rsidRPr="00722719">
            <w:fldChar w:fldCharType="separate"/>
          </w:r>
          <w:hyperlink w:anchor="_Toc168321767" w:history="1">
            <w:r w:rsidR="009E3165" w:rsidRPr="00722719">
              <w:rPr>
                <w:rStyle w:val="Hyperlink"/>
                <w:noProof/>
              </w:rPr>
              <w:t>HCAT Treasury Management, Investment and Reserves Policy</w:t>
            </w:r>
            <w:r w:rsidR="009E3165" w:rsidRPr="00722719">
              <w:rPr>
                <w:noProof/>
                <w:webHidden/>
              </w:rPr>
              <w:tab/>
            </w:r>
            <w:r w:rsidR="009E3165" w:rsidRPr="00722719">
              <w:rPr>
                <w:noProof/>
                <w:webHidden/>
              </w:rPr>
              <w:fldChar w:fldCharType="begin"/>
            </w:r>
            <w:r w:rsidR="009E3165" w:rsidRPr="00722719">
              <w:rPr>
                <w:noProof/>
                <w:webHidden/>
              </w:rPr>
              <w:instrText xml:space="preserve"> PAGEREF _Toc168321767 \h </w:instrText>
            </w:r>
            <w:r w:rsidR="009E3165" w:rsidRPr="00722719">
              <w:rPr>
                <w:noProof/>
                <w:webHidden/>
              </w:rPr>
            </w:r>
            <w:r w:rsidR="009E3165" w:rsidRPr="00722719">
              <w:rPr>
                <w:noProof/>
                <w:webHidden/>
              </w:rPr>
              <w:fldChar w:fldCharType="separate"/>
            </w:r>
            <w:r w:rsidR="009E3165" w:rsidRPr="00722719">
              <w:rPr>
                <w:noProof/>
                <w:webHidden/>
              </w:rPr>
              <w:t>2</w:t>
            </w:r>
            <w:r w:rsidR="009E3165" w:rsidRPr="00722719">
              <w:rPr>
                <w:noProof/>
                <w:webHidden/>
              </w:rPr>
              <w:fldChar w:fldCharType="end"/>
            </w:r>
          </w:hyperlink>
        </w:p>
        <w:p w14:paraId="3492035B" w14:textId="0C7957EB" w:rsidR="009E3165" w:rsidRPr="00722719" w:rsidRDefault="009E3165">
          <w:pPr>
            <w:pStyle w:val="TOC3"/>
            <w:tabs>
              <w:tab w:val="right" w:pos="10456"/>
            </w:tabs>
            <w:rPr>
              <w:rFonts w:eastAsiaTheme="minorEastAsia"/>
              <w:noProof/>
              <w:sz w:val="24"/>
              <w:szCs w:val="24"/>
              <w:lang w:eastAsia="en-GB"/>
            </w:rPr>
          </w:pPr>
          <w:hyperlink w:anchor="_Toc168321768" w:history="1">
            <w:r w:rsidRPr="00722719">
              <w:rPr>
                <w:rStyle w:val="Hyperlink"/>
                <w:noProof/>
              </w:rPr>
              <w:t>1. Introduction</w:t>
            </w:r>
            <w:r w:rsidRPr="00722719">
              <w:rPr>
                <w:noProof/>
                <w:webHidden/>
              </w:rPr>
              <w:tab/>
            </w:r>
            <w:r w:rsidRPr="00722719">
              <w:rPr>
                <w:noProof/>
                <w:webHidden/>
              </w:rPr>
              <w:fldChar w:fldCharType="begin"/>
            </w:r>
            <w:r w:rsidRPr="00722719">
              <w:rPr>
                <w:noProof/>
                <w:webHidden/>
              </w:rPr>
              <w:instrText xml:space="preserve"> PAGEREF _Toc168321768 \h </w:instrText>
            </w:r>
            <w:r w:rsidRPr="00722719">
              <w:rPr>
                <w:noProof/>
                <w:webHidden/>
              </w:rPr>
            </w:r>
            <w:r w:rsidRPr="00722719">
              <w:rPr>
                <w:noProof/>
                <w:webHidden/>
              </w:rPr>
              <w:fldChar w:fldCharType="separate"/>
            </w:r>
            <w:r w:rsidRPr="00722719">
              <w:rPr>
                <w:noProof/>
                <w:webHidden/>
              </w:rPr>
              <w:t>2</w:t>
            </w:r>
            <w:r w:rsidRPr="00722719">
              <w:rPr>
                <w:noProof/>
                <w:webHidden/>
              </w:rPr>
              <w:fldChar w:fldCharType="end"/>
            </w:r>
          </w:hyperlink>
        </w:p>
        <w:p w14:paraId="60978283" w14:textId="102B5250" w:rsidR="009E3165" w:rsidRPr="00722719" w:rsidRDefault="009E3165">
          <w:pPr>
            <w:pStyle w:val="TOC3"/>
            <w:tabs>
              <w:tab w:val="right" w:pos="10456"/>
            </w:tabs>
            <w:rPr>
              <w:rFonts w:eastAsiaTheme="minorEastAsia"/>
              <w:noProof/>
              <w:sz w:val="24"/>
              <w:szCs w:val="24"/>
              <w:lang w:eastAsia="en-GB"/>
            </w:rPr>
          </w:pPr>
          <w:hyperlink w:anchor="_Toc168321769" w:history="1">
            <w:r w:rsidRPr="00722719">
              <w:rPr>
                <w:rStyle w:val="Hyperlink"/>
                <w:noProof/>
              </w:rPr>
              <w:t>2. Responsibility</w:t>
            </w:r>
            <w:r w:rsidRPr="00722719">
              <w:rPr>
                <w:noProof/>
                <w:webHidden/>
              </w:rPr>
              <w:tab/>
            </w:r>
            <w:r w:rsidRPr="00722719">
              <w:rPr>
                <w:noProof/>
                <w:webHidden/>
              </w:rPr>
              <w:fldChar w:fldCharType="begin"/>
            </w:r>
            <w:r w:rsidRPr="00722719">
              <w:rPr>
                <w:noProof/>
                <w:webHidden/>
              </w:rPr>
              <w:instrText xml:space="preserve"> PAGEREF _Toc168321769 \h </w:instrText>
            </w:r>
            <w:r w:rsidRPr="00722719">
              <w:rPr>
                <w:noProof/>
                <w:webHidden/>
              </w:rPr>
            </w:r>
            <w:r w:rsidRPr="00722719">
              <w:rPr>
                <w:noProof/>
                <w:webHidden/>
              </w:rPr>
              <w:fldChar w:fldCharType="separate"/>
            </w:r>
            <w:r w:rsidRPr="00722719">
              <w:rPr>
                <w:noProof/>
                <w:webHidden/>
              </w:rPr>
              <w:t>2</w:t>
            </w:r>
            <w:r w:rsidRPr="00722719">
              <w:rPr>
                <w:noProof/>
                <w:webHidden/>
              </w:rPr>
              <w:fldChar w:fldCharType="end"/>
            </w:r>
          </w:hyperlink>
        </w:p>
        <w:p w14:paraId="2F76CE3B" w14:textId="54E6757E" w:rsidR="009E3165" w:rsidRPr="00722719" w:rsidRDefault="009E3165">
          <w:pPr>
            <w:pStyle w:val="TOC3"/>
            <w:tabs>
              <w:tab w:val="right" w:pos="10456"/>
            </w:tabs>
            <w:rPr>
              <w:rFonts w:eastAsiaTheme="minorEastAsia"/>
              <w:noProof/>
              <w:sz w:val="24"/>
              <w:szCs w:val="24"/>
              <w:lang w:eastAsia="en-GB"/>
            </w:rPr>
          </w:pPr>
          <w:hyperlink w:anchor="_Toc168321770" w:history="1">
            <w:r w:rsidRPr="00722719">
              <w:rPr>
                <w:rStyle w:val="Hyperlink"/>
                <w:noProof/>
              </w:rPr>
              <w:t>3. Cash Flow Forecasts</w:t>
            </w:r>
            <w:r w:rsidRPr="00722719">
              <w:rPr>
                <w:noProof/>
                <w:webHidden/>
              </w:rPr>
              <w:tab/>
            </w:r>
            <w:r w:rsidRPr="00722719">
              <w:rPr>
                <w:noProof/>
                <w:webHidden/>
              </w:rPr>
              <w:fldChar w:fldCharType="begin"/>
            </w:r>
            <w:r w:rsidRPr="00722719">
              <w:rPr>
                <w:noProof/>
                <w:webHidden/>
              </w:rPr>
              <w:instrText xml:space="preserve"> PAGEREF _Toc168321770 \h </w:instrText>
            </w:r>
            <w:r w:rsidRPr="00722719">
              <w:rPr>
                <w:noProof/>
                <w:webHidden/>
              </w:rPr>
            </w:r>
            <w:r w:rsidRPr="00722719">
              <w:rPr>
                <w:noProof/>
                <w:webHidden/>
              </w:rPr>
              <w:fldChar w:fldCharType="separate"/>
            </w:r>
            <w:r w:rsidRPr="00722719">
              <w:rPr>
                <w:noProof/>
                <w:webHidden/>
              </w:rPr>
              <w:t>2</w:t>
            </w:r>
            <w:r w:rsidRPr="00722719">
              <w:rPr>
                <w:noProof/>
                <w:webHidden/>
              </w:rPr>
              <w:fldChar w:fldCharType="end"/>
            </w:r>
          </w:hyperlink>
        </w:p>
        <w:p w14:paraId="7BD283D3" w14:textId="059DD539" w:rsidR="009E3165" w:rsidRPr="00722719" w:rsidRDefault="009E3165">
          <w:pPr>
            <w:pStyle w:val="TOC3"/>
            <w:tabs>
              <w:tab w:val="right" w:pos="10456"/>
            </w:tabs>
            <w:rPr>
              <w:rFonts w:eastAsiaTheme="minorEastAsia"/>
              <w:noProof/>
              <w:sz w:val="24"/>
              <w:szCs w:val="24"/>
              <w:lang w:eastAsia="en-GB"/>
            </w:rPr>
          </w:pPr>
          <w:hyperlink w:anchor="_Toc168321771" w:history="1">
            <w:r w:rsidRPr="00722719">
              <w:rPr>
                <w:rStyle w:val="Hyperlink"/>
                <w:noProof/>
              </w:rPr>
              <w:t>4. Borrowing</w:t>
            </w:r>
            <w:r w:rsidRPr="00722719">
              <w:rPr>
                <w:noProof/>
                <w:webHidden/>
              </w:rPr>
              <w:tab/>
            </w:r>
            <w:r w:rsidRPr="00722719">
              <w:rPr>
                <w:noProof/>
                <w:webHidden/>
              </w:rPr>
              <w:fldChar w:fldCharType="begin"/>
            </w:r>
            <w:r w:rsidRPr="00722719">
              <w:rPr>
                <w:noProof/>
                <w:webHidden/>
              </w:rPr>
              <w:instrText xml:space="preserve"> PAGEREF _Toc168321771 \h </w:instrText>
            </w:r>
            <w:r w:rsidRPr="00722719">
              <w:rPr>
                <w:noProof/>
                <w:webHidden/>
              </w:rPr>
            </w:r>
            <w:r w:rsidRPr="00722719">
              <w:rPr>
                <w:noProof/>
                <w:webHidden/>
              </w:rPr>
              <w:fldChar w:fldCharType="separate"/>
            </w:r>
            <w:r w:rsidRPr="00722719">
              <w:rPr>
                <w:noProof/>
                <w:webHidden/>
              </w:rPr>
              <w:t>2</w:t>
            </w:r>
            <w:r w:rsidRPr="00722719">
              <w:rPr>
                <w:noProof/>
                <w:webHidden/>
              </w:rPr>
              <w:fldChar w:fldCharType="end"/>
            </w:r>
          </w:hyperlink>
        </w:p>
        <w:p w14:paraId="5618200D" w14:textId="106FAF09" w:rsidR="009E3165" w:rsidRPr="00722719" w:rsidRDefault="009E3165">
          <w:pPr>
            <w:pStyle w:val="TOC3"/>
            <w:tabs>
              <w:tab w:val="right" w:pos="10456"/>
            </w:tabs>
            <w:rPr>
              <w:rFonts w:eastAsiaTheme="minorEastAsia"/>
              <w:noProof/>
              <w:sz w:val="24"/>
              <w:szCs w:val="24"/>
              <w:lang w:eastAsia="en-GB"/>
            </w:rPr>
          </w:pPr>
          <w:hyperlink w:anchor="_Toc168321772" w:history="1">
            <w:r w:rsidRPr="00722719">
              <w:rPr>
                <w:rStyle w:val="Hyperlink"/>
                <w:noProof/>
              </w:rPr>
              <w:t>5. Deposits</w:t>
            </w:r>
            <w:r w:rsidRPr="00722719">
              <w:rPr>
                <w:noProof/>
                <w:webHidden/>
              </w:rPr>
              <w:tab/>
            </w:r>
            <w:r w:rsidRPr="00722719">
              <w:rPr>
                <w:noProof/>
                <w:webHidden/>
              </w:rPr>
              <w:fldChar w:fldCharType="begin"/>
            </w:r>
            <w:r w:rsidRPr="00722719">
              <w:rPr>
                <w:noProof/>
                <w:webHidden/>
              </w:rPr>
              <w:instrText xml:space="preserve"> PAGEREF _Toc168321772 \h </w:instrText>
            </w:r>
            <w:r w:rsidRPr="00722719">
              <w:rPr>
                <w:noProof/>
                <w:webHidden/>
              </w:rPr>
            </w:r>
            <w:r w:rsidRPr="00722719">
              <w:rPr>
                <w:noProof/>
                <w:webHidden/>
              </w:rPr>
              <w:fldChar w:fldCharType="separate"/>
            </w:r>
            <w:r w:rsidRPr="00722719">
              <w:rPr>
                <w:noProof/>
                <w:webHidden/>
              </w:rPr>
              <w:t>3</w:t>
            </w:r>
            <w:r w:rsidRPr="00722719">
              <w:rPr>
                <w:noProof/>
                <w:webHidden/>
              </w:rPr>
              <w:fldChar w:fldCharType="end"/>
            </w:r>
          </w:hyperlink>
        </w:p>
        <w:p w14:paraId="769269DC" w14:textId="37634BE9" w:rsidR="009E3165" w:rsidRPr="00722719" w:rsidRDefault="009E3165">
          <w:pPr>
            <w:pStyle w:val="TOC3"/>
            <w:tabs>
              <w:tab w:val="right" w:pos="10456"/>
            </w:tabs>
            <w:rPr>
              <w:rFonts w:eastAsiaTheme="minorEastAsia"/>
              <w:noProof/>
              <w:sz w:val="24"/>
              <w:szCs w:val="24"/>
              <w:lang w:eastAsia="en-GB"/>
            </w:rPr>
          </w:pPr>
          <w:hyperlink w:anchor="_Toc168321773" w:history="1">
            <w:r w:rsidRPr="00722719">
              <w:rPr>
                <w:rStyle w:val="Hyperlink"/>
                <w:noProof/>
              </w:rPr>
              <w:t>6. Limits and Authority</w:t>
            </w:r>
            <w:r w:rsidRPr="00722719">
              <w:rPr>
                <w:noProof/>
                <w:webHidden/>
              </w:rPr>
              <w:tab/>
            </w:r>
            <w:r w:rsidRPr="00722719">
              <w:rPr>
                <w:noProof/>
                <w:webHidden/>
              </w:rPr>
              <w:fldChar w:fldCharType="begin"/>
            </w:r>
            <w:r w:rsidRPr="00722719">
              <w:rPr>
                <w:noProof/>
                <w:webHidden/>
              </w:rPr>
              <w:instrText xml:space="preserve"> PAGEREF _Toc168321773 \h </w:instrText>
            </w:r>
            <w:r w:rsidRPr="00722719">
              <w:rPr>
                <w:noProof/>
                <w:webHidden/>
              </w:rPr>
            </w:r>
            <w:r w:rsidRPr="00722719">
              <w:rPr>
                <w:noProof/>
                <w:webHidden/>
              </w:rPr>
              <w:fldChar w:fldCharType="separate"/>
            </w:r>
            <w:r w:rsidRPr="00722719">
              <w:rPr>
                <w:noProof/>
                <w:webHidden/>
              </w:rPr>
              <w:t>3</w:t>
            </w:r>
            <w:r w:rsidRPr="00722719">
              <w:rPr>
                <w:noProof/>
                <w:webHidden/>
              </w:rPr>
              <w:fldChar w:fldCharType="end"/>
            </w:r>
          </w:hyperlink>
        </w:p>
        <w:p w14:paraId="69F426A3" w14:textId="10FE1D64" w:rsidR="009E3165" w:rsidRPr="00722719" w:rsidRDefault="009E3165">
          <w:pPr>
            <w:pStyle w:val="TOC3"/>
            <w:tabs>
              <w:tab w:val="right" w:pos="10456"/>
            </w:tabs>
            <w:rPr>
              <w:rFonts w:eastAsiaTheme="minorEastAsia"/>
              <w:noProof/>
              <w:sz w:val="24"/>
              <w:szCs w:val="24"/>
              <w:lang w:eastAsia="en-GB"/>
            </w:rPr>
          </w:pPr>
          <w:hyperlink w:anchor="_Toc168321774" w:history="1">
            <w:r w:rsidRPr="00722719">
              <w:rPr>
                <w:rStyle w:val="Hyperlink"/>
                <w:noProof/>
              </w:rPr>
              <w:t>7. Register of Deposits</w:t>
            </w:r>
            <w:r w:rsidRPr="00722719">
              <w:rPr>
                <w:noProof/>
                <w:webHidden/>
              </w:rPr>
              <w:tab/>
            </w:r>
            <w:r w:rsidRPr="00722719">
              <w:rPr>
                <w:noProof/>
                <w:webHidden/>
              </w:rPr>
              <w:fldChar w:fldCharType="begin"/>
            </w:r>
            <w:r w:rsidRPr="00722719">
              <w:rPr>
                <w:noProof/>
                <w:webHidden/>
              </w:rPr>
              <w:instrText xml:space="preserve"> PAGEREF _Toc168321774 \h </w:instrText>
            </w:r>
            <w:r w:rsidRPr="00722719">
              <w:rPr>
                <w:noProof/>
                <w:webHidden/>
              </w:rPr>
            </w:r>
            <w:r w:rsidRPr="00722719">
              <w:rPr>
                <w:noProof/>
                <w:webHidden/>
              </w:rPr>
              <w:fldChar w:fldCharType="separate"/>
            </w:r>
            <w:r w:rsidRPr="00722719">
              <w:rPr>
                <w:noProof/>
                <w:webHidden/>
              </w:rPr>
              <w:t>3</w:t>
            </w:r>
            <w:r w:rsidRPr="00722719">
              <w:rPr>
                <w:noProof/>
                <w:webHidden/>
              </w:rPr>
              <w:fldChar w:fldCharType="end"/>
            </w:r>
          </w:hyperlink>
        </w:p>
        <w:p w14:paraId="567B3605" w14:textId="729C506E" w:rsidR="009E3165" w:rsidRPr="00722719" w:rsidRDefault="009E3165">
          <w:pPr>
            <w:pStyle w:val="TOC3"/>
            <w:tabs>
              <w:tab w:val="right" w:pos="10456"/>
            </w:tabs>
            <w:rPr>
              <w:rFonts w:eastAsiaTheme="minorEastAsia"/>
              <w:noProof/>
              <w:sz w:val="24"/>
              <w:szCs w:val="24"/>
              <w:lang w:eastAsia="en-GB"/>
            </w:rPr>
          </w:pPr>
          <w:hyperlink w:anchor="_Toc168321775" w:history="1">
            <w:r w:rsidRPr="00722719">
              <w:rPr>
                <w:rStyle w:val="Hyperlink"/>
                <w:noProof/>
              </w:rPr>
              <w:t>8. Purposes and setting of Reserves</w:t>
            </w:r>
            <w:r w:rsidRPr="00722719">
              <w:rPr>
                <w:noProof/>
                <w:webHidden/>
              </w:rPr>
              <w:tab/>
            </w:r>
            <w:r w:rsidRPr="00722719">
              <w:rPr>
                <w:noProof/>
                <w:webHidden/>
              </w:rPr>
              <w:fldChar w:fldCharType="begin"/>
            </w:r>
            <w:r w:rsidRPr="00722719">
              <w:rPr>
                <w:noProof/>
                <w:webHidden/>
              </w:rPr>
              <w:instrText xml:space="preserve"> PAGEREF _Toc168321775 \h </w:instrText>
            </w:r>
            <w:r w:rsidRPr="00722719">
              <w:rPr>
                <w:noProof/>
                <w:webHidden/>
              </w:rPr>
            </w:r>
            <w:r w:rsidRPr="00722719">
              <w:rPr>
                <w:noProof/>
                <w:webHidden/>
              </w:rPr>
              <w:fldChar w:fldCharType="separate"/>
            </w:r>
            <w:r w:rsidRPr="00722719">
              <w:rPr>
                <w:noProof/>
                <w:webHidden/>
              </w:rPr>
              <w:t>3</w:t>
            </w:r>
            <w:r w:rsidRPr="00722719">
              <w:rPr>
                <w:noProof/>
                <w:webHidden/>
              </w:rPr>
              <w:fldChar w:fldCharType="end"/>
            </w:r>
          </w:hyperlink>
        </w:p>
        <w:p w14:paraId="4FD452DB" w14:textId="067FC95F" w:rsidR="009E3165" w:rsidRPr="00722719" w:rsidRDefault="009E3165">
          <w:pPr>
            <w:pStyle w:val="TOC3"/>
            <w:tabs>
              <w:tab w:val="right" w:pos="10456"/>
            </w:tabs>
            <w:rPr>
              <w:rFonts w:eastAsiaTheme="minorEastAsia"/>
              <w:noProof/>
              <w:sz w:val="24"/>
              <w:szCs w:val="24"/>
              <w:lang w:eastAsia="en-GB"/>
            </w:rPr>
          </w:pPr>
          <w:hyperlink w:anchor="_Toc168321776" w:history="1">
            <w:r w:rsidRPr="00722719">
              <w:rPr>
                <w:rStyle w:val="Hyperlink"/>
                <w:noProof/>
              </w:rPr>
              <w:t>9. Restrictions on Cash Reserves</w:t>
            </w:r>
            <w:r w:rsidRPr="00722719">
              <w:rPr>
                <w:noProof/>
                <w:webHidden/>
              </w:rPr>
              <w:tab/>
            </w:r>
            <w:r w:rsidRPr="00722719">
              <w:rPr>
                <w:noProof/>
                <w:webHidden/>
              </w:rPr>
              <w:fldChar w:fldCharType="begin"/>
            </w:r>
            <w:r w:rsidRPr="00722719">
              <w:rPr>
                <w:noProof/>
                <w:webHidden/>
              </w:rPr>
              <w:instrText xml:space="preserve"> PAGEREF _Toc168321776 \h </w:instrText>
            </w:r>
            <w:r w:rsidRPr="00722719">
              <w:rPr>
                <w:noProof/>
                <w:webHidden/>
              </w:rPr>
            </w:r>
            <w:r w:rsidRPr="00722719">
              <w:rPr>
                <w:noProof/>
                <w:webHidden/>
              </w:rPr>
              <w:fldChar w:fldCharType="separate"/>
            </w:r>
            <w:r w:rsidRPr="00722719">
              <w:rPr>
                <w:noProof/>
                <w:webHidden/>
              </w:rPr>
              <w:t>4</w:t>
            </w:r>
            <w:r w:rsidRPr="00722719">
              <w:rPr>
                <w:noProof/>
                <w:webHidden/>
              </w:rPr>
              <w:fldChar w:fldCharType="end"/>
            </w:r>
          </w:hyperlink>
        </w:p>
        <w:p w14:paraId="1F7B6AC3" w14:textId="76AF46A5" w:rsidR="009E3165" w:rsidRPr="00722719" w:rsidRDefault="009E3165">
          <w:pPr>
            <w:pStyle w:val="TOC3"/>
            <w:tabs>
              <w:tab w:val="right" w:pos="10456"/>
            </w:tabs>
            <w:rPr>
              <w:rFonts w:eastAsiaTheme="minorEastAsia"/>
              <w:noProof/>
              <w:sz w:val="24"/>
              <w:szCs w:val="24"/>
              <w:lang w:eastAsia="en-GB"/>
            </w:rPr>
          </w:pPr>
          <w:hyperlink w:anchor="_Toc168321777" w:history="1">
            <w:r w:rsidRPr="00722719">
              <w:rPr>
                <w:rStyle w:val="Hyperlink"/>
                <w:noProof/>
              </w:rPr>
              <w:t>10. Level of Cash Reserves</w:t>
            </w:r>
            <w:r w:rsidRPr="00722719">
              <w:rPr>
                <w:noProof/>
                <w:webHidden/>
              </w:rPr>
              <w:tab/>
            </w:r>
            <w:r w:rsidRPr="00722719">
              <w:rPr>
                <w:noProof/>
                <w:webHidden/>
              </w:rPr>
              <w:fldChar w:fldCharType="begin"/>
            </w:r>
            <w:r w:rsidRPr="00722719">
              <w:rPr>
                <w:noProof/>
                <w:webHidden/>
              </w:rPr>
              <w:instrText xml:space="preserve"> PAGEREF _Toc168321777 \h </w:instrText>
            </w:r>
            <w:r w:rsidRPr="00722719">
              <w:rPr>
                <w:noProof/>
                <w:webHidden/>
              </w:rPr>
            </w:r>
            <w:r w:rsidRPr="00722719">
              <w:rPr>
                <w:noProof/>
                <w:webHidden/>
              </w:rPr>
              <w:fldChar w:fldCharType="separate"/>
            </w:r>
            <w:r w:rsidRPr="00722719">
              <w:rPr>
                <w:noProof/>
                <w:webHidden/>
              </w:rPr>
              <w:t>4</w:t>
            </w:r>
            <w:r w:rsidRPr="00722719">
              <w:rPr>
                <w:noProof/>
                <w:webHidden/>
              </w:rPr>
              <w:fldChar w:fldCharType="end"/>
            </w:r>
          </w:hyperlink>
        </w:p>
        <w:p w14:paraId="5CBB6E17" w14:textId="6E121BF0" w:rsidR="009E3165" w:rsidRPr="00722719" w:rsidRDefault="009E3165">
          <w:pPr>
            <w:pStyle w:val="TOC3"/>
            <w:tabs>
              <w:tab w:val="right" w:pos="10456"/>
            </w:tabs>
            <w:rPr>
              <w:rFonts w:eastAsiaTheme="minorEastAsia"/>
              <w:noProof/>
              <w:sz w:val="24"/>
              <w:szCs w:val="24"/>
              <w:lang w:eastAsia="en-GB"/>
            </w:rPr>
          </w:pPr>
          <w:hyperlink w:anchor="_Toc168321778" w:history="1">
            <w:r w:rsidRPr="00722719">
              <w:rPr>
                <w:rStyle w:val="Hyperlink"/>
                <w:noProof/>
              </w:rPr>
              <w:t>11. Monitoring, evaluation and review</w:t>
            </w:r>
            <w:r w:rsidRPr="00722719">
              <w:rPr>
                <w:noProof/>
                <w:webHidden/>
              </w:rPr>
              <w:tab/>
            </w:r>
            <w:r w:rsidRPr="00722719">
              <w:rPr>
                <w:noProof/>
                <w:webHidden/>
              </w:rPr>
              <w:fldChar w:fldCharType="begin"/>
            </w:r>
            <w:r w:rsidRPr="00722719">
              <w:rPr>
                <w:noProof/>
                <w:webHidden/>
              </w:rPr>
              <w:instrText xml:space="preserve"> PAGEREF _Toc168321778 \h </w:instrText>
            </w:r>
            <w:r w:rsidRPr="00722719">
              <w:rPr>
                <w:noProof/>
                <w:webHidden/>
              </w:rPr>
            </w:r>
            <w:r w:rsidRPr="00722719">
              <w:rPr>
                <w:noProof/>
                <w:webHidden/>
              </w:rPr>
              <w:fldChar w:fldCharType="separate"/>
            </w:r>
            <w:r w:rsidRPr="00722719">
              <w:rPr>
                <w:noProof/>
                <w:webHidden/>
              </w:rPr>
              <w:t>4</w:t>
            </w:r>
            <w:r w:rsidRPr="00722719">
              <w:rPr>
                <w:noProof/>
                <w:webHidden/>
              </w:rPr>
              <w:fldChar w:fldCharType="end"/>
            </w:r>
          </w:hyperlink>
        </w:p>
        <w:p w14:paraId="6B783B05" w14:textId="1D7B4B7D" w:rsidR="00247A50" w:rsidRPr="00722719" w:rsidRDefault="00247A50">
          <w:r w:rsidRPr="00722719">
            <w:fldChar w:fldCharType="end"/>
          </w:r>
        </w:p>
      </w:sdtContent>
    </w:sdt>
    <w:p w14:paraId="79588872" w14:textId="77777777" w:rsidR="002A1D58" w:rsidRPr="00722719" w:rsidRDefault="002A1D58" w:rsidP="0027487D">
      <w:pPr>
        <w:rPr>
          <w:b/>
          <w:u w:val="single"/>
        </w:rPr>
      </w:pPr>
    </w:p>
    <w:p w14:paraId="07D5BFAB" w14:textId="77777777" w:rsidR="002A1D58" w:rsidRPr="00722719" w:rsidRDefault="002A1D58" w:rsidP="0027487D">
      <w:pPr>
        <w:rPr>
          <w:b/>
          <w:u w:val="single"/>
        </w:rPr>
      </w:pPr>
    </w:p>
    <w:p w14:paraId="1E407CDE" w14:textId="77777777" w:rsidR="002A1D58" w:rsidRPr="00722719" w:rsidRDefault="002A1D58" w:rsidP="0027487D">
      <w:pPr>
        <w:rPr>
          <w:b/>
          <w:u w:val="single"/>
        </w:rPr>
      </w:pPr>
    </w:p>
    <w:tbl>
      <w:tblPr>
        <w:tblStyle w:val="TableGrid"/>
        <w:tblW w:w="0" w:type="auto"/>
        <w:tblLook w:val="04A0" w:firstRow="1" w:lastRow="0" w:firstColumn="1" w:lastColumn="0" w:noHBand="0" w:noVBand="1"/>
      </w:tblPr>
      <w:tblGrid>
        <w:gridCol w:w="1129"/>
        <w:gridCol w:w="6804"/>
        <w:gridCol w:w="1837"/>
      </w:tblGrid>
      <w:tr w:rsidR="002A1D58" w:rsidRPr="00722719" w14:paraId="537C255E" w14:textId="77777777" w:rsidTr="00FD7768">
        <w:tc>
          <w:tcPr>
            <w:tcW w:w="1129" w:type="dxa"/>
            <w:shd w:val="clear" w:color="auto" w:fill="D9D9D9" w:themeFill="background1" w:themeFillShade="D9"/>
          </w:tcPr>
          <w:p w14:paraId="2B031DAD" w14:textId="77777777" w:rsidR="002A1D58" w:rsidRPr="00722719" w:rsidRDefault="002A1D58" w:rsidP="00FD7768">
            <w:pPr>
              <w:jc w:val="center"/>
              <w:rPr>
                <w:rFonts w:ascii="Calibri" w:hAnsi="Calibri" w:cs="Calibri"/>
                <w:b/>
              </w:rPr>
            </w:pPr>
            <w:r w:rsidRPr="00722719">
              <w:rPr>
                <w:rFonts w:ascii="Calibri" w:hAnsi="Calibri" w:cs="Calibri"/>
                <w:b/>
              </w:rPr>
              <w:t>Version Number</w:t>
            </w:r>
          </w:p>
        </w:tc>
        <w:tc>
          <w:tcPr>
            <w:tcW w:w="6804" w:type="dxa"/>
            <w:shd w:val="clear" w:color="auto" w:fill="D9D9D9" w:themeFill="background1" w:themeFillShade="D9"/>
          </w:tcPr>
          <w:p w14:paraId="31964533" w14:textId="77777777" w:rsidR="002A1D58" w:rsidRPr="00722719" w:rsidRDefault="002A1D58" w:rsidP="00FD7768">
            <w:pPr>
              <w:jc w:val="center"/>
              <w:rPr>
                <w:rFonts w:ascii="Calibri" w:hAnsi="Calibri" w:cs="Calibri"/>
                <w:b/>
              </w:rPr>
            </w:pPr>
            <w:r w:rsidRPr="00722719">
              <w:rPr>
                <w:rFonts w:ascii="Calibri" w:hAnsi="Calibri" w:cs="Calibri"/>
                <w:b/>
              </w:rPr>
              <w:t>Version Description</w:t>
            </w:r>
          </w:p>
        </w:tc>
        <w:tc>
          <w:tcPr>
            <w:tcW w:w="1837" w:type="dxa"/>
            <w:shd w:val="clear" w:color="auto" w:fill="D9D9D9" w:themeFill="background1" w:themeFillShade="D9"/>
          </w:tcPr>
          <w:p w14:paraId="6CE976B6" w14:textId="77777777" w:rsidR="002A1D58" w:rsidRPr="00722719" w:rsidRDefault="002A1D58" w:rsidP="00FD7768">
            <w:pPr>
              <w:jc w:val="center"/>
              <w:rPr>
                <w:rFonts w:ascii="Calibri" w:hAnsi="Calibri" w:cs="Calibri"/>
                <w:b/>
              </w:rPr>
            </w:pPr>
            <w:r w:rsidRPr="00722719">
              <w:rPr>
                <w:rFonts w:ascii="Calibri" w:hAnsi="Calibri" w:cs="Calibri"/>
                <w:b/>
              </w:rPr>
              <w:t>Date of Revision</w:t>
            </w:r>
          </w:p>
        </w:tc>
      </w:tr>
      <w:tr w:rsidR="002A1D58" w:rsidRPr="00722719" w14:paraId="7EA30B02" w14:textId="77777777" w:rsidTr="00FD7768">
        <w:tc>
          <w:tcPr>
            <w:tcW w:w="1129" w:type="dxa"/>
          </w:tcPr>
          <w:p w14:paraId="5CB26DB9" w14:textId="77777777" w:rsidR="002A1D58" w:rsidRPr="00722719" w:rsidRDefault="002A1D58" w:rsidP="00FD7768">
            <w:pPr>
              <w:jc w:val="center"/>
              <w:rPr>
                <w:rFonts w:ascii="Calibri" w:hAnsi="Calibri" w:cs="Calibri"/>
                <w:bCs/>
              </w:rPr>
            </w:pPr>
            <w:r w:rsidRPr="00722719">
              <w:rPr>
                <w:rFonts w:ascii="Calibri" w:hAnsi="Calibri" w:cs="Calibri"/>
                <w:bCs/>
              </w:rPr>
              <w:t>1</w:t>
            </w:r>
          </w:p>
        </w:tc>
        <w:tc>
          <w:tcPr>
            <w:tcW w:w="6804" w:type="dxa"/>
          </w:tcPr>
          <w:p w14:paraId="44284599" w14:textId="77777777" w:rsidR="002A1D58" w:rsidRPr="00722719" w:rsidRDefault="002A1D58" w:rsidP="00FD7768">
            <w:pPr>
              <w:rPr>
                <w:rFonts w:ascii="Calibri" w:hAnsi="Calibri" w:cs="Calibri"/>
                <w:bCs/>
              </w:rPr>
            </w:pPr>
            <w:r w:rsidRPr="00722719">
              <w:rPr>
                <w:rFonts w:ascii="Calibri" w:hAnsi="Calibri" w:cs="Calibri"/>
                <w:bCs/>
              </w:rPr>
              <w:t>Original</w:t>
            </w:r>
          </w:p>
        </w:tc>
        <w:tc>
          <w:tcPr>
            <w:tcW w:w="1837" w:type="dxa"/>
          </w:tcPr>
          <w:p w14:paraId="5802CDEE" w14:textId="3125E0B3" w:rsidR="002A1D58" w:rsidRPr="00722719" w:rsidRDefault="00340D84" w:rsidP="00FD7768">
            <w:pPr>
              <w:jc w:val="center"/>
              <w:rPr>
                <w:rFonts w:ascii="Calibri" w:hAnsi="Calibri" w:cs="Calibri"/>
                <w:bCs/>
              </w:rPr>
            </w:pPr>
            <w:r w:rsidRPr="00722719">
              <w:rPr>
                <w:rFonts w:ascii="Calibri" w:hAnsi="Calibri" w:cs="Calibri"/>
                <w:bCs/>
              </w:rPr>
              <w:t>July</w:t>
            </w:r>
            <w:r w:rsidR="002A1D58" w:rsidRPr="00722719">
              <w:rPr>
                <w:rFonts w:ascii="Calibri" w:hAnsi="Calibri" w:cs="Calibri"/>
                <w:bCs/>
              </w:rPr>
              <w:t xml:space="preserve"> 202</w:t>
            </w:r>
            <w:r w:rsidRPr="00722719">
              <w:rPr>
                <w:rFonts w:ascii="Calibri" w:hAnsi="Calibri" w:cs="Calibri"/>
                <w:bCs/>
              </w:rPr>
              <w:t>3</w:t>
            </w:r>
          </w:p>
        </w:tc>
      </w:tr>
      <w:tr w:rsidR="002A1D58" w:rsidRPr="00722719" w14:paraId="4AAF73FA" w14:textId="77777777" w:rsidTr="00FD7768">
        <w:tc>
          <w:tcPr>
            <w:tcW w:w="1129" w:type="dxa"/>
          </w:tcPr>
          <w:p w14:paraId="4FEA4CFA" w14:textId="14E6B96E" w:rsidR="002A1D58" w:rsidRPr="00722719" w:rsidRDefault="006F6E29" w:rsidP="00FD7768">
            <w:pPr>
              <w:jc w:val="center"/>
              <w:rPr>
                <w:rFonts w:ascii="Calibri" w:hAnsi="Calibri" w:cs="Calibri"/>
                <w:bCs/>
              </w:rPr>
            </w:pPr>
            <w:r w:rsidRPr="00722719">
              <w:rPr>
                <w:rFonts w:ascii="Calibri" w:hAnsi="Calibri" w:cs="Calibri"/>
                <w:bCs/>
              </w:rPr>
              <w:t>2</w:t>
            </w:r>
          </w:p>
        </w:tc>
        <w:tc>
          <w:tcPr>
            <w:tcW w:w="6804" w:type="dxa"/>
          </w:tcPr>
          <w:p w14:paraId="6A97F965" w14:textId="5C19E19A" w:rsidR="002A1D58" w:rsidRPr="00722719" w:rsidRDefault="009D1CFB" w:rsidP="00FD7768">
            <w:pPr>
              <w:rPr>
                <w:rFonts w:ascii="Calibri" w:hAnsi="Calibri" w:cs="Calibri"/>
                <w:bCs/>
              </w:rPr>
            </w:pPr>
            <w:r w:rsidRPr="00722719">
              <w:rPr>
                <w:rFonts w:ascii="Calibri" w:hAnsi="Calibri" w:cs="Calibri"/>
                <w:bCs/>
              </w:rPr>
              <w:t xml:space="preserve">Reviewed and </w:t>
            </w:r>
            <w:r w:rsidR="006F6E29" w:rsidRPr="00722719">
              <w:rPr>
                <w:rFonts w:ascii="Calibri" w:hAnsi="Calibri" w:cs="Calibri"/>
                <w:bCs/>
              </w:rPr>
              <w:t>Rebranded</w:t>
            </w:r>
          </w:p>
        </w:tc>
        <w:tc>
          <w:tcPr>
            <w:tcW w:w="1837" w:type="dxa"/>
          </w:tcPr>
          <w:p w14:paraId="63478B14" w14:textId="3C7760C7" w:rsidR="002A1D58" w:rsidRPr="00722719" w:rsidRDefault="00340D84" w:rsidP="00FD7768">
            <w:pPr>
              <w:jc w:val="center"/>
              <w:rPr>
                <w:rFonts w:ascii="Calibri" w:hAnsi="Calibri" w:cs="Calibri"/>
                <w:bCs/>
              </w:rPr>
            </w:pPr>
            <w:r w:rsidRPr="00722719">
              <w:rPr>
                <w:rFonts w:ascii="Calibri" w:hAnsi="Calibri" w:cs="Calibri"/>
                <w:bCs/>
              </w:rPr>
              <w:t>June</w:t>
            </w:r>
            <w:r w:rsidR="006F6E29" w:rsidRPr="00722719">
              <w:rPr>
                <w:rFonts w:ascii="Calibri" w:hAnsi="Calibri" w:cs="Calibri"/>
                <w:bCs/>
              </w:rPr>
              <w:t xml:space="preserve"> 2024</w:t>
            </w:r>
          </w:p>
        </w:tc>
      </w:tr>
      <w:tr w:rsidR="002A1D58" w:rsidRPr="00722719" w14:paraId="60870F01" w14:textId="77777777" w:rsidTr="00FD7768">
        <w:tc>
          <w:tcPr>
            <w:tcW w:w="1129" w:type="dxa"/>
          </w:tcPr>
          <w:p w14:paraId="4801255F" w14:textId="77777777" w:rsidR="002A1D58" w:rsidRPr="00722719" w:rsidRDefault="002A1D58" w:rsidP="00FD7768">
            <w:pPr>
              <w:jc w:val="center"/>
              <w:rPr>
                <w:rFonts w:ascii="Calibri" w:hAnsi="Calibri" w:cs="Calibri"/>
                <w:bCs/>
              </w:rPr>
            </w:pPr>
          </w:p>
        </w:tc>
        <w:tc>
          <w:tcPr>
            <w:tcW w:w="6804" w:type="dxa"/>
          </w:tcPr>
          <w:p w14:paraId="6F038866" w14:textId="77777777" w:rsidR="002A1D58" w:rsidRPr="00722719" w:rsidRDefault="002A1D58" w:rsidP="00FD7768">
            <w:pPr>
              <w:rPr>
                <w:rFonts w:ascii="Calibri" w:hAnsi="Calibri" w:cs="Calibri"/>
                <w:bCs/>
              </w:rPr>
            </w:pPr>
          </w:p>
        </w:tc>
        <w:tc>
          <w:tcPr>
            <w:tcW w:w="1837" w:type="dxa"/>
          </w:tcPr>
          <w:p w14:paraId="7594978E" w14:textId="77777777" w:rsidR="002A1D58" w:rsidRPr="00722719" w:rsidRDefault="002A1D58" w:rsidP="00FD7768">
            <w:pPr>
              <w:jc w:val="center"/>
              <w:rPr>
                <w:rFonts w:ascii="Calibri" w:hAnsi="Calibri" w:cs="Calibri"/>
                <w:bCs/>
              </w:rPr>
            </w:pPr>
          </w:p>
        </w:tc>
      </w:tr>
      <w:tr w:rsidR="002A1D58" w:rsidRPr="00722719" w14:paraId="29553267" w14:textId="77777777" w:rsidTr="00FD7768">
        <w:tc>
          <w:tcPr>
            <w:tcW w:w="1129" w:type="dxa"/>
          </w:tcPr>
          <w:p w14:paraId="38579346" w14:textId="77777777" w:rsidR="002A1D58" w:rsidRPr="00722719" w:rsidRDefault="002A1D58" w:rsidP="00FD7768">
            <w:pPr>
              <w:jc w:val="center"/>
              <w:rPr>
                <w:rFonts w:ascii="Calibri" w:hAnsi="Calibri" w:cs="Calibri"/>
                <w:bCs/>
              </w:rPr>
            </w:pPr>
          </w:p>
        </w:tc>
        <w:tc>
          <w:tcPr>
            <w:tcW w:w="6804" w:type="dxa"/>
          </w:tcPr>
          <w:p w14:paraId="12B9AC37" w14:textId="77777777" w:rsidR="002A1D58" w:rsidRPr="00722719" w:rsidRDefault="002A1D58" w:rsidP="00FD7768">
            <w:pPr>
              <w:rPr>
                <w:rFonts w:ascii="Calibri" w:hAnsi="Calibri" w:cs="Calibri"/>
                <w:bCs/>
              </w:rPr>
            </w:pPr>
          </w:p>
        </w:tc>
        <w:tc>
          <w:tcPr>
            <w:tcW w:w="1837" w:type="dxa"/>
          </w:tcPr>
          <w:p w14:paraId="78106DE7" w14:textId="77777777" w:rsidR="002A1D58" w:rsidRPr="00722719" w:rsidRDefault="002A1D58" w:rsidP="00FD7768">
            <w:pPr>
              <w:jc w:val="center"/>
              <w:rPr>
                <w:rFonts w:ascii="Calibri" w:hAnsi="Calibri" w:cs="Calibri"/>
                <w:bCs/>
              </w:rPr>
            </w:pPr>
          </w:p>
        </w:tc>
      </w:tr>
      <w:tr w:rsidR="002A1D58" w:rsidRPr="00722719" w14:paraId="61DEC7C2" w14:textId="77777777" w:rsidTr="00FD7768">
        <w:tc>
          <w:tcPr>
            <w:tcW w:w="1129" w:type="dxa"/>
          </w:tcPr>
          <w:p w14:paraId="447B5A15" w14:textId="77777777" w:rsidR="002A1D58" w:rsidRPr="00722719" w:rsidRDefault="002A1D58" w:rsidP="00FD7768">
            <w:pPr>
              <w:jc w:val="center"/>
              <w:rPr>
                <w:rFonts w:ascii="Calibri" w:hAnsi="Calibri" w:cs="Calibri"/>
                <w:bCs/>
              </w:rPr>
            </w:pPr>
          </w:p>
        </w:tc>
        <w:tc>
          <w:tcPr>
            <w:tcW w:w="6804" w:type="dxa"/>
          </w:tcPr>
          <w:p w14:paraId="4B3BA81A" w14:textId="77777777" w:rsidR="002A1D58" w:rsidRPr="00722719" w:rsidRDefault="002A1D58" w:rsidP="00FD7768">
            <w:pPr>
              <w:rPr>
                <w:rFonts w:ascii="Calibri" w:hAnsi="Calibri" w:cs="Calibri"/>
                <w:bCs/>
              </w:rPr>
            </w:pPr>
          </w:p>
        </w:tc>
        <w:tc>
          <w:tcPr>
            <w:tcW w:w="1837" w:type="dxa"/>
          </w:tcPr>
          <w:p w14:paraId="4AACCA6E" w14:textId="77777777" w:rsidR="002A1D58" w:rsidRPr="00722719" w:rsidRDefault="002A1D58" w:rsidP="00FD7768">
            <w:pPr>
              <w:jc w:val="center"/>
              <w:rPr>
                <w:rFonts w:ascii="Calibri" w:hAnsi="Calibri" w:cs="Calibri"/>
                <w:bCs/>
              </w:rPr>
            </w:pPr>
          </w:p>
        </w:tc>
      </w:tr>
      <w:tr w:rsidR="002A1D58" w:rsidRPr="00722719" w14:paraId="3F0F09BC" w14:textId="77777777" w:rsidTr="00FD7768">
        <w:tc>
          <w:tcPr>
            <w:tcW w:w="1129" w:type="dxa"/>
          </w:tcPr>
          <w:p w14:paraId="3AA24999" w14:textId="77777777" w:rsidR="002A1D58" w:rsidRPr="00722719" w:rsidRDefault="002A1D58" w:rsidP="00FD7768">
            <w:pPr>
              <w:jc w:val="center"/>
              <w:rPr>
                <w:rFonts w:ascii="Calibri" w:hAnsi="Calibri" w:cs="Calibri"/>
                <w:bCs/>
              </w:rPr>
            </w:pPr>
          </w:p>
        </w:tc>
        <w:tc>
          <w:tcPr>
            <w:tcW w:w="6804" w:type="dxa"/>
          </w:tcPr>
          <w:p w14:paraId="7EEE508A" w14:textId="77777777" w:rsidR="002A1D58" w:rsidRPr="00722719" w:rsidRDefault="002A1D58" w:rsidP="00FD7768">
            <w:pPr>
              <w:rPr>
                <w:rFonts w:ascii="Calibri" w:hAnsi="Calibri" w:cs="Calibri"/>
                <w:bCs/>
              </w:rPr>
            </w:pPr>
          </w:p>
        </w:tc>
        <w:tc>
          <w:tcPr>
            <w:tcW w:w="1837" w:type="dxa"/>
          </w:tcPr>
          <w:p w14:paraId="1794B5CC" w14:textId="77777777" w:rsidR="002A1D58" w:rsidRPr="00722719" w:rsidRDefault="002A1D58" w:rsidP="00FD7768">
            <w:pPr>
              <w:jc w:val="center"/>
              <w:rPr>
                <w:rFonts w:ascii="Calibri" w:hAnsi="Calibri" w:cs="Calibri"/>
                <w:bCs/>
              </w:rPr>
            </w:pPr>
          </w:p>
        </w:tc>
      </w:tr>
      <w:tr w:rsidR="002A1D58" w:rsidRPr="00722719" w14:paraId="6B625EA7" w14:textId="77777777" w:rsidTr="00FD7768">
        <w:tc>
          <w:tcPr>
            <w:tcW w:w="1129" w:type="dxa"/>
          </w:tcPr>
          <w:p w14:paraId="3EF534BC" w14:textId="77777777" w:rsidR="002A1D58" w:rsidRPr="00722719" w:rsidRDefault="002A1D58" w:rsidP="00FD7768">
            <w:pPr>
              <w:jc w:val="center"/>
              <w:rPr>
                <w:rFonts w:ascii="Calibri" w:hAnsi="Calibri" w:cs="Calibri"/>
                <w:bCs/>
              </w:rPr>
            </w:pPr>
          </w:p>
        </w:tc>
        <w:tc>
          <w:tcPr>
            <w:tcW w:w="6804" w:type="dxa"/>
          </w:tcPr>
          <w:p w14:paraId="5FF4D60E" w14:textId="77777777" w:rsidR="002A1D58" w:rsidRPr="00722719" w:rsidRDefault="002A1D58" w:rsidP="00FD7768">
            <w:pPr>
              <w:rPr>
                <w:rFonts w:ascii="Calibri" w:hAnsi="Calibri" w:cs="Calibri"/>
                <w:bCs/>
              </w:rPr>
            </w:pPr>
          </w:p>
        </w:tc>
        <w:tc>
          <w:tcPr>
            <w:tcW w:w="1837" w:type="dxa"/>
          </w:tcPr>
          <w:p w14:paraId="4EC4B50C" w14:textId="77777777" w:rsidR="002A1D58" w:rsidRPr="00722719" w:rsidRDefault="002A1D58" w:rsidP="00FD7768">
            <w:pPr>
              <w:jc w:val="center"/>
              <w:rPr>
                <w:rFonts w:ascii="Calibri" w:hAnsi="Calibri" w:cs="Calibri"/>
                <w:bCs/>
              </w:rPr>
            </w:pPr>
          </w:p>
        </w:tc>
      </w:tr>
    </w:tbl>
    <w:p w14:paraId="77290658" w14:textId="2E26B6D3" w:rsidR="0027487D" w:rsidRPr="00722719" w:rsidRDefault="0027487D" w:rsidP="0027487D">
      <w:pPr>
        <w:rPr>
          <w:b/>
          <w:u w:val="single"/>
        </w:rPr>
      </w:pPr>
      <w:r w:rsidRPr="00722719">
        <w:rPr>
          <w:b/>
          <w:u w:val="single"/>
        </w:rPr>
        <w:br w:type="page"/>
      </w:r>
    </w:p>
    <w:p w14:paraId="781C92CE" w14:textId="5D5F84C5" w:rsidR="00E845BC" w:rsidRPr="00722719" w:rsidRDefault="00E845BC" w:rsidP="004E3199">
      <w:pPr>
        <w:pStyle w:val="Heading1"/>
        <w:rPr>
          <w:rFonts w:ascii="Calibri" w:hAnsi="Calibri" w:cs="Calibri"/>
        </w:rPr>
      </w:pPr>
      <w:bookmarkStart w:id="0" w:name="_Toc168321767"/>
      <w:r w:rsidRPr="00722719">
        <w:rPr>
          <w:rFonts w:ascii="Calibri" w:hAnsi="Calibri" w:cs="Calibri"/>
        </w:rPr>
        <w:lastRenderedPageBreak/>
        <w:t xml:space="preserve">HCAT </w:t>
      </w:r>
      <w:r w:rsidR="00476A96" w:rsidRPr="00722719">
        <w:rPr>
          <w:rFonts w:ascii="Calibri" w:hAnsi="Calibri" w:cs="Calibri"/>
        </w:rPr>
        <w:t>Treasury Management, Investment and Reserves Policy</w:t>
      </w:r>
      <w:bookmarkEnd w:id="0"/>
    </w:p>
    <w:p w14:paraId="4F908A8E" w14:textId="77777777" w:rsidR="00E845BC" w:rsidRPr="00722719" w:rsidRDefault="00E845BC" w:rsidP="00597E63">
      <w:pPr>
        <w:pStyle w:val="Heading3"/>
        <w:rPr>
          <w:rFonts w:cs="Calibri"/>
        </w:rPr>
      </w:pPr>
      <w:bookmarkStart w:id="1" w:name="_Toc168321768"/>
      <w:r w:rsidRPr="00722719">
        <w:rPr>
          <w:rFonts w:cs="Calibri"/>
        </w:rPr>
        <w:t>1. Introduction</w:t>
      </w:r>
      <w:bookmarkEnd w:id="1"/>
    </w:p>
    <w:p w14:paraId="77D901BC" w14:textId="77777777" w:rsidR="00340D84" w:rsidRPr="00722719" w:rsidRDefault="00340D84" w:rsidP="00340D84">
      <w:r w:rsidRPr="00722719">
        <w:t>Treasury Management is defined as: -</w:t>
      </w:r>
    </w:p>
    <w:p w14:paraId="2165E026" w14:textId="72F33509" w:rsidR="00340D84" w:rsidRPr="00722719" w:rsidRDefault="00340D84" w:rsidP="00340D84">
      <w:pPr>
        <w:pStyle w:val="ListParagraph"/>
        <w:numPr>
          <w:ilvl w:val="0"/>
          <w:numId w:val="26"/>
        </w:numPr>
      </w:pPr>
      <w:r w:rsidRPr="00722719">
        <w:t>the management of the Trust’s cash flows, banking and investment transactions</w:t>
      </w:r>
    </w:p>
    <w:p w14:paraId="5C54D8FC" w14:textId="6721EC23" w:rsidR="00340D84" w:rsidRPr="00722719" w:rsidRDefault="00340D84" w:rsidP="00340D84">
      <w:pPr>
        <w:pStyle w:val="ListParagraph"/>
        <w:numPr>
          <w:ilvl w:val="0"/>
          <w:numId w:val="26"/>
        </w:numPr>
      </w:pPr>
      <w:r w:rsidRPr="00722719">
        <w:t>the management of the risks associated with these activities</w:t>
      </w:r>
    </w:p>
    <w:p w14:paraId="3E152AD1" w14:textId="351CBF6E" w:rsidR="00340D84" w:rsidRPr="00722719" w:rsidRDefault="00340D84" w:rsidP="00340D84">
      <w:pPr>
        <w:pStyle w:val="ListParagraph"/>
        <w:numPr>
          <w:ilvl w:val="0"/>
          <w:numId w:val="26"/>
        </w:numPr>
      </w:pPr>
      <w:r w:rsidRPr="00722719">
        <w:t>the pursuit of optimal returns consistent with those risks</w:t>
      </w:r>
    </w:p>
    <w:p w14:paraId="3BB3BB56" w14:textId="77777777" w:rsidR="00340D84" w:rsidRPr="00722719" w:rsidRDefault="00340D84" w:rsidP="00340D84">
      <w:r w:rsidRPr="00722719">
        <w:t>The objectives of this policy are to ensure that the Trust: -</w:t>
      </w:r>
    </w:p>
    <w:p w14:paraId="58B6350E" w14:textId="677DED71" w:rsidR="00340D84" w:rsidRPr="00722719" w:rsidRDefault="00340D84" w:rsidP="00340D84">
      <w:pPr>
        <w:pStyle w:val="ListParagraph"/>
        <w:numPr>
          <w:ilvl w:val="0"/>
          <w:numId w:val="26"/>
        </w:numPr>
      </w:pPr>
      <w:r w:rsidRPr="00722719">
        <w:t xml:space="preserve">maintains sufficient cash balances in its current accounts to meet its </w:t>
      </w:r>
      <w:proofErr w:type="gramStart"/>
      <w:r w:rsidRPr="00722719">
        <w:t>day to day</w:t>
      </w:r>
      <w:proofErr w:type="gramEnd"/>
      <w:r w:rsidRPr="00722719">
        <w:t xml:space="preserve"> commitments</w:t>
      </w:r>
    </w:p>
    <w:p w14:paraId="611E34F9" w14:textId="3EC2EDD3" w:rsidR="00340D84" w:rsidRPr="00722719" w:rsidRDefault="00340D84" w:rsidP="00340D84">
      <w:pPr>
        <w:pStyle w:val="ListParagraph"/>
        <w:numPr>
          <w:ilvl w:val="0"/>
          <w:numId w:val="26"/>
        </w:numPr>
      </w:pPr>
      <w:r w:rsidRPr="00722719">
        <w:t>invests surplus cash to earn an acceptable rate of return without undue risk</w:t>
      </w:r>
    </w:p>
    <w:p w14:paraId="5EE31AF5" w14:textId="4294758B" w:rsidR="00340D84" w:rsidRPr="00722719" w:rsidRDefault="00340D84" w:rsidP="00340D84">
      <w:pPr>
        <w:pStyle w:val="ListParagraph"/>
        <w:numPr>
          <w:ilvl w:val="0"/>
          <w:numId w:val="26"/>
        </w:numPr>
      </w:pPr>
      <w:r w:rsidRPr="00722719">
        <w:t>complies with the Academies Financial Handbook and ensures that security of funds takes precedence over revenue maximization</w:t>
      </w:r>
    </w:p>
    <w:p w14:paraId="498E156D" w14:textId="637CA4E4" w:rsidR="00340D84" w:rsidRPr="00722719" w:rsidRDefault="00340D84" w:rsidP="00340D84">
      <w:pPr>
        <w:pStyle w:val="ListParagraph"/>
        <w:numPr>
          <w:ilvl w:val="0"/>
          <w:numId w:val="26"/>
        </w:numPr>
      </w:pPr>
      <w:r w:rsidRPr="00722719">
        <w:t>considers spreading risk between differing institutions to reduce risk</w:t>
      </w:r>
    </w:p>
    <w:p w14:paraId="6AD8CA11" w14:textId="7AF7A58A" w:rsidR="00340D84" w:rsidRPr="00722719" w:rsidRDefault="00340D84" w:rsidP="00340D84">
      <w:pPr>
        <w:pStyle w:val="ListParagraph"/>
        <w:numPr>
          <w:ilvl w:val="0"/>
          <w:numId w:val="26"/>
        </w:numPr>
      </w:pPr>
      <w:r w:rsidRPr="00722719">
        <w:t>maintain sufficient reserves to mitigate against future risks, whilst not holding unnecessarily high levels of reserves</w:t>
      </w:r>
    </w:p>
    <w:p w14:paraId="6221BC2E" w14:textId="77777777" w:rsidR="00340D84" w:rsidRPr="00722719" w:rsidRDefault="00340D84" w:rsidP="00340D84">
      <w:r w:rsidRPr="00722719">
        <w:t xml:space="preserve">There are </w:t>
      </w:r>
      <w:proofErr w:type="gramStart"/>
      <w:r w:rsidRPr="00722719">
        <w:t>a number of</w:t>
      </w:r>
      <w:proofErr w:type="gramEnd"/>
      <w:r w:rsidRPr="00722719">
        <w:t xml:space="preserve"> constraints placed upon academies in terms of fund management. One of these constraints is the inability to borrow funds. This constraint represents a key risk to the Trust in relation to financial planning and monitoring. One of the ways in which the Trust mitigates this risk is through the effective management of reserves, which provide alternative temporary funding streams should there be a delay in grant receipts or a sudden unforeseen increase in expenditure.</w:t>
      </w:r>
    </w:p>
    <w:p w14:paraId="181271AA" w14:textId="77777777" w:rsidR="00340D84" w:rsidRPr="00722719" w:rsidRDefault="00340D84" w:rsidP="00340D84">
      <w:r w:rsidRPr="00722719">
        <w:t xml:space="preserve">As part of good governance, best practice and in compliance with the Academies Trust Handbook, HCAT has developed a framework for managing and maintaining its reserves. This will ensure that they are deployed in a meaningful time to benefit the pupils who are present in the Trust’s schools during the time the reserves have accrued, while being balanced against effective stewardship of public funds.  </w:t>
      </w:r>
    </w:p>
    <w:p w14:paraId="77476D6C" w14:textId="77777777" w:rsidR="00340D84" w:rsidRPr="00722719" w:rsidRDefault="00340D84" w:rsidP="00340D84">
      <w:r w:rsidRPr="00722719">
        <w:t>The directors have the responsibility to manage the assets of the Trust which is a single legal entity. Setting a reserves policy is a central part of managing the Trust’s finances and safeguarding the Trust’s assets in uncertain times. Directors must ensure that the Trust holds enough reserves to implement its future strategy. The level of reserves therefore depends on the level of funds required to implement the future strategy.</w:t>
      </w:r>
    </w:p>
    <w:p w14:paraId="7B70CE33" w14:textId="5991118F" w:rsidR="00340D84" w:rsidRPr="00722719" w:rsidRDefault="00340D84" w:rsidP="00340D84">
      <w:pPr>
        <w:pStyle w:val="Heading3"/>
        <w:rPr>
          <w:rFonts w:cs="Calibri"/>
        </w:rPr>
      </w:pPr>
      <w:bookmarkStart w:id="2" w:name="_Toc168321769"/>
      <w:r w:rsidRPr="00722719">
        <w:rPr>
          <w:rFonts w:cs="Calibri"/>
        </w:rPr>
        <w:t>2. Responsibility</w:t>
      </w:r>
      <w:bookmarkEnd w:id="2"/>
    </w:p>
    <w:p w14:paraId="643B7133" w14:textId="77777777" w:rsidR="00340D84" w:rsidRPr="00722719" w:rsidRDefault="00340D84" w:rsidP="00340D84">
      <w:r w:rsidRPr="00722719">
        <w:t xml:space="preserve">The Accounting Officer (CEO) and Board of Trustees have overall responsibility for the security and management of funds. The </w:t>
      </w:r>
      <w:proofErr w:type="gramStart"/>
      <w:r w:rsidRPr="00722719">
        <w:t>day to day</w:t>
      </w:r>
      <w:proofErr w:type="gramEnd"/>
      <w:r w:rsidRPr="00722719">
        <w:t xml:space="preserve"> management of the treasury function is controlled by the Chief Finance Officer (CFO), who will liaise with the Accounting Officer and Board of Trustees in relation to investment decisions.</w:t>
      </w:r>
    </w:p>
    <w:p w14:paraId="6102FF30" w14:textId="16C2010B" w:rsidR="00340D84" w:rsidRPr="00722719" w:rsidRDefault="00340D84" w:rsidP="00340D84">
      <w:pPr>
        <w:pStyle w:val="Heading3"/>
        <w:rPr>
          <w:rFonts w:cs="Calibri"/>
        </w:rPr>
      </w:pPr>
      <w:bookmarkStart w:id="3" w:name="_Toc168321770"/>
      <w:r w:rsidRPr="00722719">
        <w:rPr>
          <w:rFonts w:cs="Calibri"/>
        </w:rPr>
        <w:t>3. Cash Flow Forecasts</w:t>
      </w:r>
      <w:bookmarkEnd w:id="3"/>
    </w:p>
    <w:p w14:paraId="115BE067" w14:textId="77777777" w:rsidR="00340D84" w:rsidRPr="00722719" w:rsidRDefault="00340D84" w:rsidP="00340D84">
      <w:r w:rsidRPr="00722719">
        <w:t>The Chief Finance Officer will prepare and present monthly 12 months rolling cash flows to the Board of Trustees to identify expected cash balances throughout the year for investment opportunities and to provide early warning of low cash balances.</w:t>
      </w:r>
    </w:p>
    <w:p w14:paraId="38356E82" w14:textId="440F37AC" w:rsidR="00340D84" w:rsidRPr="00722719" w:rsidRDefault="00340D84" w:rsidP="00340D84">
      <w:pPr>
        <w:pStyle w:val="Heading3"/>
        <w:rPr>
          <w:rFonts w:cs="Calibri"/>
        </w:rPr>
      </w:pPr>
      <w:bookmarkStart w:id="4" w:name="_Toc168321771"/>
      <w:r w:rsidRPr="00722719">
        <w:rPr>
          <w:rFonts w:cs="Calibri"/>
        </w:rPr>
        <w:t>4. Borrowing</w:t>
      </w:r>
      <w:bookmarkEnd w:id="4"/>
    </w:p>
    <w:p w14:paraId="68F47894" w14:textId="77777777" w:rsidR="00340D84" w:rsidRPr="00722719" w:rsidRDefault="00340D84" w:rsidP="00340D84">
      <w:r w:rsidRPr="00722719">
        <w:t>The Trust is not permitted to borrow without prior permission of the Secretary of State.</w:t>
      </w:r>
    </w:p>
    <w:p w14:paraId="05C2B0B1" w14:textId="77777777" w:rsidR="00340D84" w:rsidRPr="00722719" w:rsidRDefault="00340D84" w:rsidP="00340D84"/>
    <w:p w14:paraId="1901317F" w14:textId="43621151" w:rsidR="00340D84" w:rsidRPr="00722719" w:rsidRDefault="00340D84" w:rsidP="00340D84">
      <w:pPr>
        <w:pStyle w:val="Heading3"/>
        <w:rPr>
          <w:rFonts w:cs="Calibri"/>
        </w:rPr>
      </w:pPr>
      <w:bookmarkStart w:id="5" w:name="_Toc168321772"/>
      <w:r w:rsidRPr="00722719">
        <w:rPr>
          <w:rFonts w:cs="Calibri"/>
        </w:rPr>
        <w:lastRenderedPageBreak/>
        <w:t>5. Deposits</w:t>
      </w:r>
      <w:bookmarkEnd w:id="5"/>
    </w:p>
    <w:p w14:paraId="4063DFDC" w14:textId="77777777" w:rsidR="00340D84" w:rsidRPr="00722719" w:rsidRDefault="00340D84" w:rsidP="00340D84">
      <w:r w:rsidRPr="00722719">
        <w:t>The Trust will operate an interest-bearing current account with a bank approved by the Board of Trustees and maintain sufficient balances to ensure there are adequate liquid funds to cover all immediate and forthcoming financial commitments, including maintaining a sufficient contingency for unexpected payments.</w:t>
      </w:r>
    </w:p>
    <w:p w14:paraId="712D222B" w14:textId="77777777" w:rsidR="00340D84" w:rsidRPr="00722719" w:rsidRDefault="00340D84" w:rsidP="00340D84">
      <w:r w:rsidRPr="00722719">
        <w:t xml:space="preserve">Monies surplus to the working requirements shall be invested in </w:t>
      </w:r>
      <w:proofErr w:type="gramStart"/>
      <w:r w:rsidRPr="00722719">
        <w:t>low risk</w:t>
      </w:r>
      <w:proofErr w:type="gramEnd"/>
      <w:r w:rsidRPr="00722719">
        <w:t xml:space="preserve"> deposit accounts or term deposits in regulated institutions. This will be invested at a rate of £250k per investment at quarterly instalments.</w:t>
      </w:r>
    </w:p>
    <w:p w14:paraId="5C9E1CA9" w14:textId="77777777" w:rsidR="00340D84" w:rsidRPr="00722719" w:rsidRDefault="00340D84" w:rsidP="00340D84">
      <w:r w:rsidRPr="00722719">
        <w:t>The Academy will not take out any long-term deposits until reliable cash flow pattern has been established, monies will only be paid into term deposits not exceeding six months.</w:t>
      </w:r>
    </w:p>
    <w:p w14:paraId="7DDEB183" w14:textId="77777777" w:rsidR="00340D84" w:rsidRPr="00722719" w:rsidRDefault="00340D84" w:rsidP="00340D84">
      <w:r w:rsidRPr="00722719">
        <w:t>The Academy will only deposit funds with bodies protected by the Financial Services Compensation Scheme.</w:t>
      </w:r>
    </w:p>
    <w:p w14:paraId="178349BD" w14:textId="64328210" w:rsidR="00340D84" w:rsidRPr="00722719" w:rsidRDefault="00340D84" w:rsidP="0094707B">
      <w:pPr>
        <w:pStyle w:val="Heading3"/>
        <w:rPr>
          <w:rFonts w:cs="Calibri"/>
        </w:rPr>
      </w:pPr>
      <w:bookmarkStart w:id="6" w:name="_Toc168321773"/>
      <w:r w:rsidRPr="00722719">
        <w:rPr>
          <w:rFonts w:cs="Calibri"/>
        </w:rPr>
        <w:t>6. Limits and Authority</w:t>
      </w:r>
      <w:bookmarkEnd w:id="6"/>
    </w:p>
    <w:p w14:paraId="6D8E0494" w14:textId="77777777" w:rsidR="00340D84" w:rsidRPr="00722719" w:rsidRDefault="00340D84" w:rsidP="00340D84">
      <w:r w:rsidRPr="00722719">
        <w:t>The Board of Trustees has the power to:</w:t>
      </w:r>
    </w:p>
    <w:p w14:paraId="05D7FE67" w14:textId="0BA0C559" w:rsidR="00340D84" w:rsidRPr="00722719" w:rsidRDefault="00340D84" w:rsidP="00340D84">
      <w:pPr>
        <w:pStyle w:val="ListParagraph"/>
        <w:numPr>
          <w:ilvl w:val="0"/>
          <w:numId w:val="26"/>
        </w:numPr>
      </w:pPr>
      <w:r w:rsidRPr="00722719">
        <w:t>Give prior approval to the opening of new bank current accounts</w:t>
      </w:r>
    </w:p>
    <w:p w14:paraId="4A47727C" w14:textId="06FAA59D" w:rsidR="00340D84" w:rsidRPr="00722719" w:rsidRDefault="00340D84" w:rsidP="00340D84">
      <w:pPr>
        <w:pStyle w:val="ListParagraph"/>
        <w:numPr>
          <w:ilvl w:val="0"/>
          <w:numId w:val="26"/>
        </w:numPr>
      </w:pPr>
      <w:r w:rsidRPr="00722719">
        <w:t>Give prior approval to any bank deposit with a maturity date exceeding six months</w:t>
      </w:r>
    </w:p>
    <w:p w14:paraId="31FFDA50" w14:textId="664F6CBF" w:rsidR="00340D84" w:rsidRPr="00722719" w:rsidRDefault="00340D84" w:rsidP="00340D84">
      <w:pPr>
        <w:pStyle w:val="ListParagraph"/>
        <w:numPr>
          <w:ilvl w:val="0"/>
          <w:numId w:val="26"/>
        </w:numPr>
      </w:pPr>
      <w:r w:rsidRPr="00722719">
        <w:t>Appoint a financial expert to advise on investments, including use of an approved investment platform</w:t>
      </w:r>
    </w:p>
    <w:p w14:paraId="3F66EBAE" w14:textId="02CFDFDB" w:rsidR="00340D84" w:rsidRPr="00722719" w:rsidRDefault="00340D84" w:rsidP="00340D84">
      <w:pPr>
        <w:pStyle w:val="ListParagraph"/>
        <w:numPr>
          <w:ilvl w:val="0"/>
          <w:numId w:val="26"/>
        </w:numPr>
      </w:pPr>
      <w:r w:rsidRPr="00722719">
        <w:t>Reallocate reserves between academies or pool reserves centrally as it sees fit to meet the needs of the Trust</w:t>
      </w:r>
    </w:p>
    <w:p w14:paraId="5760C3E3" w14:textId="77777777" w:rsidR="00340D84" w:rsidRPr="00722719" w:rsidRDefault="00340D84" w:rsidP="00340D84">
      <w:r w:rsidRPr="00722719">
        <w:t>The Board of Trustees delegates authority to the Chief Finance Officer to place deposits in the trust’s name, at approved institutions, subject to the agreed limits within this policy. No deposits will be placed without prior agreement with the Accounting Officer or other signatory subject to the relevant limits.</w:t>
      </w:r>
    </w:p>
    <w:p w14:paraId="775F6A60" w14:textId="77777777" w:rsidR="00340D84" w:rsidRPr="00722719" w:rsidRDefault="00340D84" w:rsidP="00340D84">
      <w:r w:rsidRPr="00722719">
        <w:t>Authorised bank signatories of the Trust are set out in the Trust’s Financial Management Policy.</w:t>
      </w:r>
    </w:p>
    <w:p w14:paraId="4684DA91" w14:textId="3198951C" w:rsidR="00340D84" w:rsidRPr="00722719" w:rsidRDefault="0094707B" w:rsidP="0094707B">
      <w:pPr>
        <w:pStyle w:val="Heading3"/>
        <w:rPr>
          <w:rFonts w:cs="Calibri"/>
        </w:rPr>
      </w:pPr>
      <w:bookmarkStart w:id="7" w:name="_Toc168321774"/>
      <w:r w:rsidRPr="00722719">
        <w:rPr>
          <w:rFonts w:cs="Calibri"/>
        </w:rPr>
        <w:t xml:space="preserve">7. </w:t>
      </w:r>
      <w:r w:rsidR="00340D84" w:rsidRPr="00722719">
        <w:rPr>
          <w:rFonts w:cs="Calibri"/>
        </w:rPr>
        <w:t>Register of Deposits</w:t>
      </w:r>
      <w:bookmarkEnd w:id="7"/>
    </w:p>
    <w:p w14:paraId="3123308D" w14:textId="77777777" w:rsidR="00340D84" w:rsidRPr="00722719" w:rsidRDefault="00340D84" w:rsidP="00340D84">
      <w:r w:rsidRPr="00722719">
        <w:t>The Chief Finance Officer will maintain an electronic register of all deposits/investments held which will record:</w:t>
      </w:r>
    </w:p>
    <w:p w14:paraId="5D4A7E0E" w14:textId="267E7241" w:rsidR="00340D84" w:rsidRPr="00722719" w:rsidRDefault="00340D84" w:rsidP="0094707B">
      <w:pPr>
        <w:pStyle w:val="ListParagraph"/>
        <w:numPr>
          <w:ilvl w:val="0"/>
          <w:numId w:val="26"/>
        </w:numPr>
      </w:pPr>
      <w:r w:rsidRPr="00722719">
        <w:t>Institution with which deposit placed</w:t>
      </w:r>
    </w:p>
    <w:p w14:paraId="0DD2D9E6" w14:textId="3C282E2C" w:rsidR="00340D84" w:rsidRPr="00722719" w:rsidRDefault="00340D84" w:rsidP="0094707B">
      <w:pPr>
        <w:pStyle w:val="ListParagraph"/>
        <w:numPr>
          <w:ilvl w:val="0"/>
          <w:numId w:val="26"/>
        </w:numPr>
      </w:pPr>
      <w:r w:rsidRPr="00722719">
        <w:t>Date deposit placed</w:t>
      </w:r>
    </w:p>
    <w:p w14:paraId="6CFDF4DD" w14:textId="63060A3B" w:rsidR="00340D84" w:rsidRPr="00722719" w:rsidRDefault="00340D84" w:rsidP="0094707B">
      <w:pPr>
        <w:pStyle w:val="ListParagraph"/>
        <w:numPr>
          <w:ilvl w:val="0"/>
          <w:numId w:val="26"/>
        </w:numPr>
      </w:pPr>
      <w:r w:rsidRPr="00722719">
        <w:t>Amount deposited</w:t>
      </w:r>
    </w:p>
    <w:p w14:paraId="65A7B7D8" w14:textId="21616B70" w:rsidR="00340D84" w:rsidRPr="00722719" w:rsidRDefault="00340D84" w:rsidP="0094707B">
      <w:pPr>
        <w:pStyle w:val="ListParagraph"/>
        <w:numPr>
          <w:ilvl w:val="0"/>
          <w:numId w:val="26"/>
        </w:numPr>
      </w:pPr>
      <w:r w:rsidRPr="00722719">
        <w:t>Date of maturity</w:t>
      </w:r>
    </w:p>
    <w:p w14:paraId="6E44D985" w14:textId="6BF3F492" w:rsidR="00340D84" w:rsidRPr="00722719" w:rsidRDefault="00340D84" w:rsidP="0094707B">
      <w:pPr>
        <w:pStyle w:val="ListParagraph"/>
        <w:numPr>
          <w:ilvl w:val="0"/>
          <w:numId w:val="26"/>
        </w:numPr>
      </w:pPr>
      <w:r w:rsidRPr="00722719">
        <w:t>Amount returned</w:t>
      </w:r>
    </w:p>
    <w:p w14:paraId="6259AD6A" w14:textId="6CDEF295" w:rsidR="00340D84" w:rsidRPr="00722719" w:rsidRDefault="00340D84" w:rsidP="0094707B">
      <w:pPr>
        <w:pStyle w:val="ListParagraph"/>
        <w:numPr>
          <w:ilvl w:val="0"/>
          <w:numId w:val="26"/>
        </w:numPr>
      </w:pPr>
      <w:r w:rsidRPr="00722719">
        <w:t>Rate of interest</w:t>
      </w:r>
    </w:p>
    <w:p w14:paraId="255E9D24" w14:textId="519077A1" w:rsidR="00340D84" w:rsidRPr="00722719" w:rsidRDefault="00340D84" w:rsidP="0094707B">
      <w:pPr>
        <w:pStyle w:val="ListParagraph"/>
        <w:numPr>
          <w:ilvl w:val="0"/>
          <w:numId w:val="26"/>
        </w:numPr>
      </w:pPr>
      <w:r w:rsidRPr="00722719">
        <w:t>Interest earned</w:t>
      </w:r>
    </w:p>
    <w:p w14:paraId="785C8961" w14:textId="77777777" w:rsidR="00340D84" w:rsidRPr="00722719" w:rsidRDefault="00340D84" w:rsidP="00340D84">
      <w:r w:rsidRPr="00722719">
        <w:t>Only banks rated as A+ or above will be used for investment purposes.</w:t>
      </w:r>
    </w:p>
    <w:p w14:paraId="119A89BD" w14:textId="6DCD6EFD" w:rsidR="00340D84" w:rsidRPr="00722719" w:rsidRDefault="001977C1" w:rsidP="001977C1">
      <w:pPr>
        <w:pStyle w:val="Heading3"/>
        <w:rPr>
          <w:rFonts w:cs="Calibri"/>
        </w:rPr>
      </w:pPr>
      <w:bookmarkStart w:id="8" w:name="_Toc168321775"/>
      <w:r w:rsidRPr="00722719">
        <w:rPr>
          <w:rFonts w:cs="Calibri"/>
        </w:rPr>
        <w:t xml:space="preserve">8. </w:t>
      </w:r>
      <w:r w:rsidR="00340D84" w:rsidRPr="00722719">
        <w:rPr>
          <w:rFonts w:cs="Calibri"/>
        </w:rPr>
        <w:t>Purposes and setting of Reserves</w:t>
      </w:r>
      <w:bookmarkEnd w:id="8"/>
    </w:p>
    <w:p w14:paraId="2F12FE00" w14:textId="77777777" w:rsidR="00340D84" w:rsidRPr="00722719" w:rsidRDefault="00340D84" w:rsidP="00340D84">
      <w:r w:rsidRPr="00722719">
        <w:t>Reserves are the representation of the cash balances available at the period end. In charity accounts (the format used for academies) this cash is transferred into fund balances. These balances can be for ‘restricted’ or ‘unrestricted’ purposes depending on their source.</w:t>
      </w:r>
    </w:p>
    <w:p w14:paraId="553B043E" w14:textId="77777777" w:rsidR="00340D84" w:rsidRPr="00722719" w:rsidRDefault="00340D84" w:rsidP="00340D84">
      <w:r w:rsidRPr="00722719">
        <w:t>There are four primary reserve categories for which their purpose is detailed below:</w:t>
      </w:r>
    </w:p>
    <w:p w14:paraId="3432802F" w14:textId="77777777" w:rsidR="00340D84" w:rsidRPr="00722719" w:rsidRDefault="00340D84" w:rsidP="00340D84">
      <w:r w:rsidRPr="00722719">
        <w:t xml:space="preserve">Free Revenue Reserve – these are unrestricted and may be used however the Trust sees fit as part of achieving its strategic objectives, while still complying with the Academies Trust Handbook and the furtherance of the Trust’s charitable objects. If part of an unrestricted income fund is earmarked for a project, it may be ‘designated’ as a separate fund. However, the designation has an administrative purpose only and does not legally restrict the </w:t>
      </w:r>
      <w:r w:rsidRPr="00722719">
        <w:lastRenderedPageBreak/>
        <w:t>directors’ discretion to spend the fund. Unrestricted reserves will be achieved through operational efficiencies and any trading activities undertaken by the Trust.</w:t>
      </w:r>
    </w:p>
    <w:p w14:paraId="26F592E0" w14:textId="77777777" w:rsidR="00340D84" w:rsidRPr="00722719" w:rsidRDefault="00340D84" w:rsidP="00340D84">
      <w:r w:rsidRPr="00722719">
        <w:t>Restricted Revenue Reserves – these are reserves that are restricted in certain ways, whether they be relating to the Teaching Centre, Pupil Premium etc. While they may be used, the restrictions on the income initially received remain in place.</w:t>
      </w:r>
    </w:p>
    <w:p w14:paraId="2D03B7F8" w14:textId="77777777" w:rsidR="00340D84" w:rsidRPr="00722719" w:rsidRDefault="00340D84" w:rsidP="00340D84">
      <w:r w:rsidRPr="00722719">
        <w:t xml:space="preserve">Restricted Fixed Asset Reserve – This represents the current carrying value of all fixed assets that have transferred to the Trust from the Local Authority </w:t>
      </w:r>
      <w:proofErr w:type="gramStart"/>
      <w:r w:rsidRPr="00722719">
        <w:t>as a result of</w:t>
      </w:r>
      <w:proofErr w:type="gramEnd"/>
      <w:r w:rsidRPr="00722719">
        <w:t xml:space="preserve"> School conversions, donated and granted fixed assets and any other fixed asset purchased from Free and Restricted Reserves.</w:t>
      </w:r>
    </w:p>
    <w:p w14:paraId="05C8400A" w14:textId="77777777" w:rsidR="00340D84" w:rsidRPr="00722719" w:rsidRDefault="00340D84" w:rsidP="00340D84">
      <w:r w:rsidRPr="00722719">
        <w:t>Restricted Pension Reserve – This represents the Trust's share of the deficit on the Local Government Pension Scheme (LGPS) transferred to the schools on conversion from Local Authority control.</w:t>
      </w:r>
    </w:p>
    <w:p w14:paraId="299F805C" w14:textId="789DD1D1" w:rsidR="00340D84" w:rsidRPr="00722719" w:rsidRDefault="001977C1" w:rsidP="001977C1">
      <w:pPr>
        <w:pStyle w:val="Heading3"/>
        <w:rPr>
          <w:rFonts w:cs="Calibri"/>
        </w:rPr>
      </w:pPr>
      <w:bookmarkStart w:id="9" w:name="_Toc168321776"/>
      <w:r w:rsidRPr="00722719">
        <w:rPr>
          <w:rFonts w:cs="Calibri"/>
        </w:rPr>
        <w:t xml:space="preserve">9. </w:t>
      </w:r>
      <w:r w:rsidR="00340D84" w:rsidRPr="00722719">
        <w:rPr>
          <w:rFonts w:cs="Calibri"/>
        </w:rPr>
        <w:t>Restrictions on Cash Reserves</w:t>
      </w:r>
      <w:bookmarkEnd w:id="9"/>
    </w:p>
    <w:p w14:paraId="56026669" w14:textId="77777777" w:rsidR="00340D84" w:rsidRPr="00722719" w:rsidRDefault="00340D84" w:rsidP="00340D84">
      <w:r w:rsidRPr="00722719">
        <w:t xml:space="preserve">The ESFA </w:t>
      </w:r>
      <w:proofErr w:type="gramStart"/>
      <w:r w:rsidRPr="00722719">
        <w:t>are able to</w:t>
      </w:r>
      <w:proofErr w:type="gramEnd"/>
      <w:r w:rsidRPr="00722719">
        <w:t xml:space="preserve"> set limits on the sum of GAG that can be carried forward from one year to the next. There are currently no limits in place.</w:t>
      </w:r>
    </w:p>
    <w:p w14:paraId="1A78457F" w14:textId="77777777" w:rsidR="00340D84" w:rsidRPr="00722719" w:rsidRDefault="00340D84" w:rsidP="00340D84">
      <w:r w:rsidRPr="00722719">
        <w:t>The DfE does expect Academy Trusts to use their allocated funding for the full benefit of their current pupils. Therefore, the Academy Trust will not build up a substantial surplus without having in place a clear plan for how it will be used to benefit our pupils.</w:t>
      </w:r>
    </w:p>
    <w:p w14:paraId="3C1C9A11" w14:textId="7786B022" w:rsidR="00340D84" w:rsidRPr="00722719" w:rsidRDefault="001977C1" w:rsidP="001977C1">
      <w:pPr>
        <w:pStyle w:val="Heading3"/>
        <w:rPr>
          <w:rFonts w:cs="Calibri"/>
        </w:rPr>
      </w:pPr>
      <w:bookmarkStart w:id="10" w:name="_Toc168321777"/>
      <w:r w:rsidRPr="00722719">
        <w:rPr>
          <w:rFonts w:cs="Calibri"/>
        </w:rPr>
        <w:t xml:space="preserve">10. </w:t>
      </w:r>
      <w:r w:rsidR="00340D84" w:rsidRPr="00722719">
        <w:rPr>
          <w:rFonts w:cs="Calibri"/>
        </w:rPr>
        <w:t>Level of Cash Reserves</w:t>
      </w:r>
      <w:bookmarkEnd w:id="10"/>
    </w:p>
    <w:p w14:paraId="6E216C6F" w14:textId="77777777" w:rsidR="00340D84" w:rsidRPr="00722719" w:rsidRDefault="00340D84" w:rsidP="00340D84">
      <w:r w:rsidRPr="00722719">
        <w:t xml:space="preserve">The financial risks have been reviewed in terms of impact and likelihood as part of the strategic risk management process. The main financial risk to the Academy Trust is as </w:t>
      </w:r>
      <w:proofErr w:type="gramStart"/>
      <w:r w:rsidRPr="00722719">
        <w:t>follows:-</w:t>
      </w:r>
      <w:proofErr w:type="gramEnd"/>
    </w:p>
    <w:p w14:paraId="12528528" w14:textId="77FD0E2B" w:rsidR="00340D84" w:rsidRPr="00722719" w:rsidRDefault="00340D84" w:rsidP="001977C1">
      <w:pPr>
        <w:pStyle w:val="ListParagraph"/>
        <w:numPr>
          <w:ilvl w:val="0"/>
          <w:numId w:val="26"/>
        </w:numPr>
      </w:pPr>
      <w:r w:rsidRPr="00722719">
        <w:t>Mitigating against future real terms funding cuts.</w:t>
      </w:r>
    </w:p>
    <w:p w14:paraId="02CB1345" w14:textId="2F168DC5" w:rsidR="00340D84" w:rsidRPr="00722719" w:rsidRDefault="00340D84" w:rsidP="001977C1">
      <w:pPr>
        <w:pStyle w:val="ListParagraph"/>
        <w:numPr>
          <w:ilvl w:val="0"/>
          <w:numId w:val="26"/>
        </w:numPr>
      </w:pPr>
      <w:r w:rsidRPr="00722719">
        <w:t xml:space="preserve">Mitigating against additional salary and pension costs, </w:t>
      </w:r>
    </w:p>
    <w:p w14:paraId="67C0FEF3" w14:textId="529367EE" w:rsidR="001977C1" w:rsidRPr="00722719" w:rsidRDefault="00340D84" w:rsidP="001977C1">
      <w:pPr>
        <w:pStyle w:val="ListParagraph"/>
        <w:numPr>
          <w:ilvl w:val="0"/>
          <w:numId w:val="26"/>
        </w:numPr>
      </w:pPr>
      <w:r w:rsidRPr="00722719">
        <w:t>Mitigating against undiscovered liabilities for incoming academies</w:t>
      </w:r>
    </w:p>
    <w:p w14:paraId="2AA025B9" w14:textId="765CF8C8" w:rsidR="00340D84" w:rsidRPr="00722719" w:rsidRDefault="00340D84" w:rsidP="001977C1">
      <w:pPr>
        <w:pStyle w:val="ListParagraph"/>
        <w:numPr>
          <w:ilvl w:val="0"/>
          <w:numId w:val="30"/>
        </w:numPr>
      </w:pPr>
      <w:r w:rsidRPr="00722719">
        <w:t>Mitigating against fluctuating energy costs by developing an energy &amp; sustainability strategy</w:t>
      </w:r>
    </w:p>
    <w:p w14:paraId="33FEE8FD" w14:textId="77777777" w:rsidR="00340D84" w:rsidRPr="00722719" w:rsidRDefault="00340D84" w:rsidP="00340D84">
      <w:r w:rsidRPr="00722719">
        <w:t xml:space="preserve">Reserves as </w:t>
      </w:r>
      <w:proofErr w:type="gramStart"/>
      <w:r w:rsidRPr="00722719">
        <w:t>at</w:t>
      </w:r>
      <w:proofErr w:type="gramEnd"/>
      <w:r w:rsidRPr="00722719">
        <w:t xml:space="preserve"> 31 May 2023 are over £3.5m. This is expected to increase to </w:t>
      </w:r>
      <w:proofErr w:type="gramStart"/>
      <w:r w:rsidRPr="00722719">
        <w:t>…..</w:t>
      </w:r>
      <w:proofErr w:type="gramEnd"/>
      <w:r w:rsidRPr="00722719">
        <w:t xml:space="preserve"> by 31 August 2023</w:t>
      </w:r>
    </w:p>
    <w:p w14:paraId="20B0E52B" w14:textId="77777777" w:rsidR="00340D84" w:rsidRPr="00722719" w:rsidRDefault="00340D84" w:rsidP="00340D84">
      <w:r w:rsidRPr="00722719">
        <w:t xml:space="preserve">The policy of the Academy is to carry forward a prudent level of resources designed to meet the long-term cyclical needs of renewal and any other unforeseen contingencies, subject to the constraint that the level of resources does not exceed the level permitted by the ESFA. </w:t>
      </w:r>
    </w:p>
    <w:p w14:paraId="3D545F17" w14:textId="77777777" w:rsidR="00340D84" w:rsidRPr="00722719" w:rsidRDefault="00340D84" w:rsidP="00340D84">
      <w:r w:rsidRPr="00722719">
        <w:t>Reserves of approx. 5% of the GAG to be maintained by each Trust academy.</w:t>
      </w:r>
    </w:p>
    <w:p w14:paraId="68D0BF3C" w14:textId="77777777" w:rsidR="00340D84" w:rsidRPr="00722719" w:rsidRDefault="00340D84" w:rsidP="00340D84">
      <w:r w:rsidRPr="00722719">
        <w:t xml:space="preserve">Academies will be expected to make future provisions of 1% and above in future annual budgets to build future reserves. Deficit in year budgets will need to be approved by the CEO. </w:t>
      </w:r>
    </w:p>
    <w:p w14:paraId="2B453E62" w14:textId="77777777" w:rsidR="00340D84" w:rsidRPr="00722719" w:rsidRDefault="00340D84" w:rsidP="00340D84">
      <w:r w:rsidRPr="00722719">
        <w:t>An additional provision is required for capital works to ensure that the buildings/equipment are fit for purpose over the medium term. The Trust capital plan covers estate and ICT and will cover both maintenance and improvement works. HCAT has received School Conditional Allocation since September 2021 – this is funding to be spent on capital that is available to trusts with at least 5 schools and 3000 pupils.</w:t>
      </w:r>
    </w:p>
    <w:p w14:paraId="63D79C63" w14:textId="6F9AED60" w:rsidR="00340D84" w:rsidRPr="00722719" w:rsidRDefault="00921E8D" w:rsidP="00921E8D">
      <w:pPr>
        <w:pStyle w:val="Heading3"/>
        <w:rPr>
          <w:rFonts w:cs="Calibri"/>
        </w:rPr>
      </w:pPr>
      <w:bookmarkStart w:id="11" w:name="_Toc168321778"/>
      <w:r w:rsidRPr="00722719">
        <w:rPr>
          <w:rFonts w:cs="Calibri"/>
        </w:rPr>
        <w:t xml:space="preserve">11. </w:t>
      </w:r>
      <w:r w:rsidR="00340D84" w:rsidRPr="00722719">
        <w:rPr>
          <w:rFonts w:cs="Calibri"/>
        </w:rPr>
        <w:t>Monitoring, evaluation and review</w:t>
      </w:r>
      <w:bookmarkEnd w:id="11"/>
    </w:p>
    <w:p w14:paraId="07BAD33A" w14:textId="77777777" w:rsidR="00340D84" w:rsidRPr="00722719" w:rsidRDefault="00340D84" w:rsidP="00340D84">
      <w:r w:rsidRPr="00722719">
        <w:t>The Chief Finance Officer will update the Trustees regarding any deposit or investments at each Finance and Audit Committee meeting.</w:t>
      </w:r>
    </w:p>
    <w:p w14:paraId="573483D5" w14:textId="215DA053" w:rsidR="008951FD" w:rsidRPr="00722719" w:rsidRDefault="00340D84" w:rsidP="00340D84">
      <w:r w:rsidRPr="00722719">
        <w:t>Periodically (at least annually) the Chief Finance Officer will review interest rates and compare these with investment opportunities through other institutions.</w:t>
      </w:r>
    </w:p>
    <w:sectPr w:rsidR="008951FD" w:rsidRPr="00722719" w:rsidSect="0009519E">
      <w:footerReference w:type="default" r:id="rId12"/>
      <w:pgSz w:w="11906" w:h="16838"/>
      <w:pgMar w:top="720" w:right="720" w:bottom="720" w:left="72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E8D6D" w14:textId="77777777" w:rsidR="00BE6018" w:rsidRDefault="00BE6018" w:rsidP="0009519E">
      <w:pPr>
        <w:spacing w:after="0" w:line="240" w:lineRule="auto"/>
      </w:pPr>
      <w:r>
        <w:separator/>
      </w:r>
    </w:p>
  </w:endnote>
  <w:endnote w:type="continuationSeparator" w:id="0">
    <w:p w14:paraId="0E96D9C2" w14:textId="77777777" w:rsidR="00BE6018" w:rsidRDefault="00BE6018" w:rsidP="0009519E">
      <w:pPr>
        <w:spacing w:after="0" w:line="240" w:lineRule="auto"/>
      </w:pPr>
      <w:r>
        <w:continuationSeparator/>
      </w:r>
    </w:p>
  </w:endnote>
  <w:endnote w:type="continuationNotice" w:id="1">
    <w:p w14:paraId="651941A2" w14:textId="77777777" w:rsidR="00BE6018" w:rsidRDefault="00BE60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807714"/>
      <w:docPartObj>
        <w:docPartGallery w:val="Page Numbers (Bottom of Page)"/>
        <w:docPartUnique/>
      </w:docPartObj>
    </w:sdtPr>
    <w:sdtEndPr>
      <w:rPr>
        <w:noProof/>
      </w:rPr>
    </w:sdtEndPr>
    <w:sdtContent>
      <w:p w14:paraId="24F9C56C" w14:textId="78BFC581" w:rsidR="0009519E" w:rsidRDefault="0009519E">
        <w:pPr>
          <w:pStyle w:val="Footer"/>
        </w:pPr>
        <w:r>
          <w:fldChar w:fldCharType="begin"/>
        </w:r>
        <w:r>
          <w:instrText xml:space="preserve"> PAGE   \* MERGEFORMAT </w:instrText>
        </w:r>
        <w:r>
          <w:fldChar w:fldCharType="separate"/>
        </w:r>
        <w:r>
          <w:rPr>
            <w:noProof/>
          </w:rPr>
          <w:t>2</w:t>
        </w:r>
        <w:r>
          <w:rPr>
            <w:noProof/>
          </w:rPr>
          <w:fldChar w:fldCharType="end"/>
        </w:r>
      </w:p>
    </w:sdtContent>
  </w:sdt>
  <w:p w14:paraId="0807F249" w14:textId="77777777" w:rsidR="0009519E" w:rsidRDefault="00095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54BA7" w14:textId="77777777" w:rsidR="00BE6018" w:rsidRDefault="00BE6018" w:rsidP="0009519E">
      <w:pPr>
        <w:spacing w:after="0" w:line="240" w:lineRule="auto"/>
      </w:pPr>
      <w:r>
        <w:separator/>
      </w:r>
    </w:p>
  </w:footnote>
  <w:footnote w:type="continuationSeparator" w:id="0">
    <w:p w14:paraId="2637328F" w14:textId="77777777" w:rsidR="00BE6018" w:rsidRDefault="00BE6018" w:rsidP="0009519E">
      <w:pPr>
        <w:spacing w:after="0" w:line="240" w:lineRule="auto"/>
      </w:pPr>
      <w:r>
        <w:continuationSeparator/>
      </w:r>
    </w:p>
  </w:footnote>
  <w:footnote w:type="continuationNotice" w:id="1">
    <w:p w14:paraId="1B2172CD" w14:textId="77777777" w:rsidR="00BE6018" w:rsidRDefault="00BE601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6C0"/>
    <w:multiLevelType w:val="hybridMultilevel"/>
    <w:tmpl w:val="A9A80994"/>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C17AC"/>
    <w:multiLevelType w:val="hybridMultilevel"/>
    <w:tmpl w:val="C8A87A60"/>
    <w:lvl w:ilvl="0" w:tplc="5CAC9C2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9D00DA"/>
    <w:multiLevelType w:val="hybridMultilevel"/>
    <w:tmpl w:val="BCD6108A"/>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033A3"/>
    <w:multiLevelType w:val="hybridMultilevel"/>
    <w:tmpl w:val="680E7B84"/>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9A7A4"/>
    <w:multiLevelType w:val="hybridMultilevel"/>
    <w:tmpl w:val="DA50B1FA"/>
    <w:lvl w:ilvl="0" w:tplc="7220CF48">
      <w:start w:val="1"/>
      <w:numFmt w:val="bullet"/>
      <w:lvlText w:val="·"/>
      <w:lvlJc w:val="left"/>
      <w:pPr>
        <w:ind w:left="720" w:hanging="360"/>
      </w:pPr>
      <w:rPr>
        <w:rFonts w:ascii="Symbol" w:hAnsi="Symbol" w:hint="default"/>
      </w:rPr>
    </w:lvl>
    <w:lvl w:ilvl="1" w:tplc="B6627162">
      <w:start w:val="1"/>
      <w:numFmt w:val="bullet"/>
      <w:lvlText w:val="o"/>
      <w:lvlJc w:val="left"/>
      <w:pPr>
        <w:ind w:left="1440" w:hanging="360"/>
      </w:pPr>
      <w:rPr>
        <w:rFonts w:ascii="Courier New" w:hAnsi="Courier New" w:hint="default"/>
      </w:rPr>
    </w:lvl>
    <w:lvl w:ilvl="2" w:tplc="55AC2B50">
      <w:start w:val="1"/>
      <w:numFmt w:val="bullet"/>
      <w:lvlText w:val=""/>
      <w:lvlJc w:val="left"/>
      <w:pPr>
        <w:ind w:left="2160" w:hanging="360"/>
      </w:pPr>
      <w:rPr>
        <w:rFonts w:ascii="Wingdings" w:hAnsi="Wingdings" w:hint="default"/>
      </w:rPr>
    </w:lvl>
    <w:lvl w:ilvl="3" w:tplc="1B7A8024">
      <w:start w:val="1"/>
      <w:numFmt w:val="bullet"/>
      <w:lvlText w:val=""/>
      <w:lvlJc w:val="left"/>
      <w:pPr>
        <w:ind w:left="2880" w:hanging="360"/>
      </w:pPr>
      <w:rPr>
        <w:rFonts w:ascii="Symbol" w:hAnsi="Symbol" w:hint="default"/>
      </w:rPr>
    </w:lvl>
    <w:lvl w:ilvl="4" w:tplc="8CDA1EA8">
      <w:start w:val="1"/>
      <w:numFmt w:val="bullet"/>
      <w:lvlText w:val="o"/>
      <w:lvlJc w:val="left"/>
      <w:pPr>
        <w:ind w:left="3600" w:hanging="360"/>
      </w:pPr>
      <w:rPr>
        <w:rFonts w:ascii="Courier New" w:hAnsi="Courier New" w:hint="default"/>
      </w:rPr>
    </w:lvl>
    <w:lvl w:ilvl="5" w:tplc="7E20232E">
      <w:start w:val="1"/>
      <w:numFmt w:val="bullet"/>
      <w:lvlText w:val=""/>
      <w:lvlJc w:val="left"/>
      <w:pPr>
        <w:ind w:left="4320" w:hanging="360"/>
      </w:pPr>
      <w:rPr>
        <w:rFonts w:ascii="Wingdings" w:hAnsi="Wingdings" w:hint="default"/>
      </w:rPr>
    </w:lvl>
    <w:lvl w:ilvl="6" w:tplc="EEE8D692">
      <w:start w:val="1"/>
      <w:numFmt w:val="bullet"/>
      <w:lvlText w:val=""/>
      <w:lvlJc w:val="left"/>
      <w:pPr>
        <w:ind w:left="5040" w:hanging="360"/>
      </w:pPr>
      <w:rPr>
        <w:rFonts w:ascii="Symbol" w:hAnsi="Symbol" w:hint="default"/>
      </w:rPr>
    </w:lvl>
    <w:lvl w:ilvl="7" w:tplc="58205B64">
      <w:start w:val="1"/>
      <w:numFmt w:val="bullet"/>
      <w:lvlText w:val="o"/>
      <w:lvlJc w:val="left"/>
      <w:pPr>
        <w:ind w:left="5760" w:hanging="360"/>
      </w:pPr>
      <w:rPr>
        <w:rFonts w:ascii="Courier New" w:hAnsi="Courier New" w:hint="default"/>
      </w:rPr>
    </w:lvl>
    <w:lvl w:ilvl="8" w:tplc="84D45CC2">
      <w:start w:val="1"/>
      <w:numFmt w:val="bullet"/>
      <w:lvlText w:val=""/>
      <w:lvlJc w:val="left"/>
      <w:pPr>
        <w:ind w:left="6480" w:hanging="360"/>
      </w:pPr>
      <w:rPr>
        <w:rFonts w:ascii="Wingdings" w:hAnsi="Wingdings" w:hint="default"/>
      </w:rPr>
    </w:lvl>
  </w:abstractNum>
  <w:abstractNum w:abstractNumId="5" w15:restartNumberingAfterBreak="0">
    <w:nsid w:val="0AA20E6C"/>
    <w:multiLevelType w:val="hybridMultilevel"/>
    <w:tmpl w:val="E44A73C0"/>
    <w:lvl w:ilvl="0" w:tplc="5CAC9C2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8764B8"/>
    <w:multiLevelType w:val="hybridMultilevel"/>
    <w:tmpl w:val="79762F14"/>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DE6A61"/>
    <w:multiLevelType w:val="hybridMultilevel"/>
    <w:tmpl w:val="ADF4184A"/>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6A291F"/>
    <w:multiLevelType w:val="multilevel"/>
    <w:tmpl w:val="A6D81F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03F7C2D"/>
    <w:multiLevelType w:val="hybridMultilevel"/>
    <w:tmpl w:val="308CB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422B39"/>
    <w:multiLevelType w:val="multilevel"/>
    <w:tmpl w:val="C17EBA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3BD6022"/>
    <w:multiLevelType w:val="hybridMultilevel"/>
    <w:tmpl w:val="9AD69550"/>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7C1074"/>
    <w:multiLevelType w:val="hybridMultilevel"/>
    <w:tmpl w:val="A628EA08"/>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9B68F6"/>
    <w:multiLevelType w:val="hybridMultilevel"/>
    <w:tmpl w:val="8062D422"/>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EA1822"/>
    <w:multiLevelType w:val="hybridMultilevel"/>
    <w:tmpl w:val="6E6CA3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CB7C78"/>
    <w:multiLevelType w:val="hybridMultilevel"/>
    <w:tmpl w:val="731A3A88"/>
    <w:lvl w:ilvl="0" w:tplc="24B8F74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6041083"/>
    <w:multiLevelType w:val="hybridMultilevel"/>
    <w:tmpl w:val="3D22C518"/>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6E7289"/>
    <w:multiLevelType w:val="multilevel"/>
    <w:tmpl w:val="A96E558A"/>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34137311"/>
    <w:multiLevelType w:val="hybridMultilevel"/>
    <w:tmpl w:val="2402E320"/>
    <w:lvl w:ilvl="0" w:tplc="5FFA88A4">
      <w:start w:val="3"/>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5694552"/>
    <w:multiLevelType w:val="hybridMultilevel"/>
    <w:tmpl w:val="541644B6"/>
    <w:lvl w:ilvl="0" w:tplc="5CAC9C2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82F473"/>
    <w:multiLevelType w:val="hybridMultilevel"/>
    <w:tmpl w:val="78246168"/>
    <w:lvl w:ilvl="0" w:tplc="31F60E74">
      <w:start w:val="1"/>
      <w:numFmt w:val="bullet"/>
      <w:lvlText w:val="·"/>
      <w:lvlJc w:val="left"/>
      <w:pPr>
        <w:ind w:left="720" w:hanging="360"/>
      </w:pPr>
      <w:rPr>
        <w:rFonts w:ascii="Symbol" w:hAnsi="Symbol" w:hint="default"/>
      </w:rPr>
    </w:lvl>
    <w:lvl w:ilvl="1" w:tplc="FE665CC2">
      <w:start w:val="1"/>
      <w:numFmt w:val="bullet"/>
      <w:lvlText w:val="o"/>
      <w:lvlJc w:val="left"/>
      <w:pPr>
        <w:ind w:left="1440" w:hanging="360"/>
      </w:pPr>
      <w:rPr>
        <w:rFonts w:ascii="Courier New" w:hAnsi="Courier New" w:hint="default"/>
      </w:rPr>
    </w:lvl>
    <w:lvl w:ilvl="2" w:tplc="00921E08">
      <w:start w:val="1"/>
      <w:numFmt w:val="bullet"/>
      <w:lvlText w:val=""/>
      <w:lvlJc w:val="left"/>
      <w:pPr>
        <w:ind w:left="2160" w:hanging="360"/>
      </w:pPr>
      <w:rPr>
        <w:rFonts w:ascii="Wingdings" w:hAnsi="Wingdings" w:hint="default"/>
      </w:rPr>
    </w:lvl>
    <w:lvl w:ilvl="3" w:tplc="84D08B54">
      <w:start w:val="1"/>
      <w:numFmt w:val="bullet"/>
      <w:lvlText w:val=""/>
      <w:lvlJc w:val="left"/>
      <w:pPr>
        <w:ind w:left="2880" w:hanging="360"/>
      </w:pPr>
      <w:rPr>
        <w:rFonts w:ascii="Symbol" w:hAnsi="Symbol" w:hint="default"/>
      </w:rPr>
    </w:lvl>
    <w:lvl w:ilvl="4" w:tplc="ADF64824">
      <w:start w:val="1"/>
      <w:numFmt w:val="bullet"/>
      <w:lvlText w:val="o"/>
      <w:lvlJc w:val="left"/>
      <w:pPr>
        <w:ind w:left="3600" w:hanging="360"/>
      </w:pPr>
      <w:rPr>
        <w:rFonts w:ascii="Courier New" w:hAnsi="Courier New" w:hint="default"/>
      </w:rPr>
    </w:lvl>
    <w:lvl w:ilvl="5" w:tplc="174E5F76">
      <w:start w:val="1"/>
      <w:numFmt w:val="bullet"/>
      <w:lvlText w:val=""/>
      <w:lvlJc w:val="left"/>
      <w:pPr>
        <w:ind w:left="4320" w:hanging="360"/>
      </w:pPr>
      <w:rPr>
        <w:rFonts w:ascii="Wingdings" w:hAnsi="Wingdings" w:hint="default"/>
      </w:rPr>
    </w:lvl>
    <w:lvl w:ilvl="6" w:tplc="91C48914">
      <w:start w:val="1"/>
      <w:numFmt w:val="bullet"/>
      <w:lvlText w:val=""/>
      <w:lvlJc w:val="left"/>
      <w:pPr>
        <w:ind w:left="5040" w:hanging="360"/>
      </w:pPr>
      <w:rPr>
        <w:rFonts w:ascii="Symbol" w:hAnsi="Symbol" w:hint="default"/>
      </w:rPr>
    </w:lvl>
    <w:lvl w:ilvl="7" w:tplc="3956ED64">
      <w:start w:val="1"/>
      <w:numFmt w:val="bullet"/>
      <w:lvlText w:val="o"/>
      <w:lvlJc w:val="left"/>
      <w:pPr>
        <w:ind w:left="5760" w:hanging="360"/>
      </w:pPr>
      <w:rPr>
        <w:rFonts w:ascii="Courier New" w:hAnsi="Courier New" w:hint="default"/>
      </w:rPr>
    </w:lvl>
    <w:lvl w:ilvl="8" w:tplc="9974A07C">
      <w:start w:val="1"/>
      <w:numFmt w:val="bullet"/>
      <w:lvlText w:val=""/>
      <w:lvlJc w:val="left"/>
      <w:pPr>
        <w:ind w:left="6480" w:hanging="360"/>
      </w:pPr>
      <w:rPr>
        <w:rFonts w:ascii="Wingdings" w:hAnsi="Wingdings" w:hint="default"/>
      </w:rPr>
    </w:lvl>
  </w:abstractNum>
  <w:abstractNum w:abstractNumId="21" w15:restartNumberingAfterBreak="0">
    <w:nsid w:val="44B64463"/>
    <w:multiLevelType w:val="hybridMultilevel"/>
    <w:tmpl w:val="7A987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753606"/>
    <w:multiLevelType w:val="hybridMultilevel"/>
    <w:tmpl w:val="969A25D6"/>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D3D6EF"/>
    <w:multiLevelType w:val="hybridMultilevel"/>
    <w:tmpl w:val="7AA80920"/>
    <w:lvl w:ilvl="0" w:tplc="7B0E2550">
      <w:start w:val="1"/>
      <w:numFmt w:val="bullet"/>
      <w:lvlText w:val="·"/>
      <w:lvlJc w:val="left"/>
      <w:pPr>
        <w:ind w:left="720" w:hanging="360"/>
      </w:pPr>
      <w:rPr>
        <w:rFonts w:ascii="Symbol" w:hAnsi="Symbol" w:hint="default"/>
      </w:rPr>
    </w:lvl>
    <w:lvl w:ilvl="1" w:tplc="E884A910">
      <w:start w:val="1"/>
      <w:numFmt w:val="bullet"/>
      <w:lvlText w:val="o"/>
      <w:lvlJc w:val="left"/>
      <w:pPr>
        <w:ind w:left="1440" w:hanging="360"/>
      </w:pPr>
      <w:rPr>
        <w:rFonts w:ascii="Courier New" w:hAnsi="Courier New" w:hint="default"/>
      </w:rPr>
    </w:lvl>
    <w:lvl w:ilvl="2" w:tplc="62EC5D60">
      <w:start w:val="1"/>
      <w:numFmt w:val="bullet"/>
      <w:lvlText w:val=""/>
      <w:lvlJc w:val="left"/>
      <w:pPr>
        <w:ind w:left="2160" w:hanging="360"/>
      </w:pPr>
      <w:rPr>
        <w:rFonts w:ascii="Wingdings" w:hAnsi="Wingdings" w:hint="default"/>
      </w:rPr>
    </w:lvl>
    <w:lvl w:ilvl="3" w:tplc="BCAA36A4">
      <w:start w:val="1"/>
      <w:numFmt w:val="bullet"/>
      <w:lvlText w:val=""/>
      <w:lvlJc w:val="left"/>
      <w:pPr>
        <w:ind w:left="2880" w:hanging="360"/>
      </w:pPr>
      <w:rPr>
        <w:rFonts w:ascii="Symbol" w:hAnsi="Symbol" w:hint="default"/>
      </w:rPr>
    </w:lvl>
    <w:lvl w:ilvl="4" w:tplc="AF8C2280">
      <w:start w:val="1"/>
      <w:numFmt w:val="bullet"/>
      <w:lvlText w:val="o"/>
      <w:lvlJc w:val="left"/>
      <w:pPr>
        <w:ind w:left="3600" w:hanging="360"/>
      </w:pPr>
      <w:rPr>
        <w:rFonts w:ascii="Courier New" w:hAnsi="Courier New" w:hint="default"/>
      </w:rPr>
    </w:lvl>
    <w:lvl w:ilvl="5" w:tplc="FC5E3E34">
      <w:start w:val="1"/>
      <w:numFmt w:val="bullet"/>
      <w:lvlText w:val=""/>
      <w:lvlJc w:val="left"/>
      <w:pPr>
        <w:ind w:left="4320" w:hanging="360"/>
      </w:pPr>
      <w:rPr>
        <w:rFonts w:ascii="Wingdings" w:hAnsi="Wingdings" w:hint="default"/>
      </w:rPr>
    </w:lvl>
    <w:lvl w:ilvl="6" w:tplc="DB6688F4">
      <w:start w:val="1"/>
      <w:numFmt w:val="bullet"/>
      <w:lvlText w:val=""/>
      <w:lvlJc w:val="left"/>
      <w:pPr>
        <w:ind w:left="5040" w:hanging="360"/>
      </w:pPr>
      <w:rPr>
        <w:rFonts w:ascii="Symbol" w:hAnsi="Symbol" w:hint="default"/>
      </w:rPr>
    </w:lvl>
    <w:lvl w:ilvl="7" w:tplc="8A928430">
      <w:start w:val="1"/>
      <w:numFmt w:val="bullet"/>
      <w:lvlText w:val="o"/>
      <w:lvlJc w:val="left"/>
      <w:pPr>
        <w:ind w:left="5760" w:hanging="360"/>
      </w:pPr>
      <w:rPr>
        <w:rFonts w:ascii="Courier New" w:hAnsi="Courier New" w:hint="default"/>
      </w:rPr>
    </w:lvl>
    <w:lvl w:ilvl="8" w:tplc="AE0ECFA4">
      <w:start w:val="1"/>
      <w:numFmt w:val="bullet"/>
      <w:lvlText w:val=""/>
      <w:lvlJc w:val="left"/>
      <w:pPr>
        <w:ind w:left="6480" w:hanging="360"/>
      </w:pPr>
      <w:rPr>
        <w:rFonts w:ascii="Wingdings" w:hAnsi="Wingdings" w:hint="default"/>
      </w:rPr>
    </w:lvl>
  </w:abstractNum>
  <w:abstractNum w:abstractNumId="24" w15:restartNumberingAfterBreak="0">
    <w:nsid w:val="5B4B03BB"/>
    <w:multiLevelType w:val="hybridMultilevel"/>
    <w:tmpl w:val="C4E889C8"/>
    <w:lvl w:ilvl="0" w:tplc="5CAC9C2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3C7F5B"/>
    <w:multiLevelType w:val="hybridMultilevel"/>
    <w:tmpl w:val="3E6ADA16"/>
    <w:lvl w:ilvl="0" w:tplc="5CAC9C2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ED754C"/>
    <w:multiLevelType w:val="hybridMultilevel"/>
    <w:tmpl w:val="70D895BE"/>
    <w:lvl w:ilvl="0" w:tplc="5FFA88A4">
      <w:start w:val="3"/>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86F422D"/>
    <w:multiLevelType w:val="hybridMultilevel"/>
    <w:tmpl w:val="D64A6EE4"/>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430E96"/>
    <w:multiLevelType w:val="hybridMultilevel"/>
    <w:tmpl w:val="3600091E"/>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D06392"/>
    <w:multiLevelType w:val="hybridMultilevel"/>
    <w:tmpl w:val="6C1A88FA"/>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3416484">
    <w:abstractNumId w:val="23"/>
  </w:num>
  <w:num w:numId="2" w16cid:durableId="1392801209">
    <w:abstractNumId w:val="4"/>
  </w:num>
  <w:num w:numId="3" w16cid:durableId="200478150">
    <w:abstractNumId w:val="20"/>
  </w:num>
  <w:num w:numId="4" w16cid:durableId="857042393">
    <w:abstractNumId w:val="17"/>
  </w:num>
  <w:num w:numId="5" w16cid:durableId="747263445">
    <w:abstractNumId w:val="10"/>
  </w:num>
  <w:num w:numId="6" w16cid:durableId="919097349">
    <w:abstractNumId w:val="8"/>
  </w:num>
  <w:num w:numId="7" w16cid:durableId="485321532">
    <w:abstractNumId w:val="14"/>
  </w:num>
  <w:num w:numId="8" w16cid:durableId="1024401496">
    <w:abstractNumId w:val="15"/>
  </w:num>
  <w:num w:numId="9" w16cid:durableId="129321401">
    <w:abstractNumId w:val="9"/>
  </w:num>
  <w:num w:numId="10" w16cid:durableId="895120142">
    <w:abstractNumId w:val="13"/>
  </w:num>
  <w:num w:numId="11" w16cid:durableId="1885406892">
    <w:abstractNumId w:val="18"/>
  </w:num>
  <w:num w:numId="12" w16cid:durableId="369382851">
    <w:abstractNumId w:val="27"/>
  </w:num>
  <w:num w:numId="13" w16cid:durableId="1616978361">
    <w:abstractNumId w:val="26"/>
  </w:num>
  <w:num w:numId="14" w16cid:durableId="1926304468">
    <w:abstractNumId w:val="6"/>
  </w:num>
  <w:num w:numId="15" w16cid:durableId="1985771864">
    <w:abstractNumId w:val="3"/>
  </w:num>
  <w:num w:numId="16" w16cid:durableId="520750850">
    <w:abstractNumId w:val="7"/>
  </w:num>
  <w:num w:numId="17" w16cid:durableId="1297493057">
    <w:abstractNumId w:val="2"/>
  </w:num>
  <w:num w:numId="18" w16cid:durableId="1277634489">
    <w:abstractNumId w:val="12"/>
  </w:num>
  <w:num w:numId="19" w16cid:durableId="1661345508">
    <w:abstractNumId w:val="28"/>
  </w:num>
  <w:num w:numId="20" w16cid:durableId="410733120">
    <w:abstractNumId w:val="22"/>
  </w:num>
  <w:num w:numId="21" w16cid:durableId="1173765074">
    <w:abstractNumId w:val="16"/>
  </w:num>
  <w:num w:numId="22" w16cid:durableId="583535589">
    <w:abstractNumId w:val="0"/>
  </w:num>
  <w:num w:numId="23" w16cid:durableId="1280532473">
    <w:abstractNumId w:val="11"/>
  </w:num>
  <w:num w:numId="24" w16cid:durableId="1000230212">
    <w:abstractNumId w:val="29"/>
  </w:num>
  <w:num w:numId="25" w16cid:durableId="515660770">
    <w:abstractNumId w:val="21"/>
  </w:num>
  <w:num w:numId="26" w16cid:durableId="1546530132">
    <w:abstractNumId w:val="24"/>
  </w:num>
  <w:num w:numId="27" w16cid:durableId="1080056023">
    <w:abstractNumId w:val="5"/>
  </w:num>
  <w:num w:numId="28" w16cid:durableId="51278288">
    <w:abstractNumId w:val="1"/>
  </w:num>
  <w:num w:numId="29" w16cid:durableId="1346902612">
    <w:abstractNumId w:val="19"/>
  </w:num>
  <w:num w:numId="30" w16cid:durableId="138537139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BC"/>
    <w:rsid w:val="00000EBD"/>
    <w:rsid w:val="000037F2"/>
    <w:rsid w:val="0002641E"/>
    <w:rsid w:val="00041509"/>
    <w:rsid w:val="00042CBE"/>
    <w:rsid w:val="00044BDC"/>
    <w:rsid w:val="0007218D"/>
    <w:rsid w:val="000914AB"/>
    <w:rsid w:val="00091E5A"/>
    <w:rsid w:val="0009519E"/>
    <w:rsid w:val="000A7706"/>
    <w:rsid w:val="000B120D"/>
    <w:rsid w:val="000B2DBC"/>
    <w:rsid w:val="000C3BC2"/>
    <w:rsid w:val="000C4A61"/>
    <w:rsid w:val="000E0F5B"/>
    <w:rsid w:val="000E6397"/>
    <w:rsid w:val="000F10B2"/>
    <w:rsid w:val="000F41CB"/>
    <w:rsid w:val="000F6C45"/>
    <w:rsid w:val="00102F1B"/>
    <w:rsid w:val="0010491B"/>
    <w:rsid w:val="00122B6B"/>
    <w:rsid w:val="00132100"/>
    <w:rsid w:val="00143DCC"/>
    <w:rsid w:val="00145B4C"/>
    <w:rsid w:val="00154D1B"/>
    <w:rsid w:val="0015578A"/>
    <w:rsid w:val="00167449"/>
    <w:rsid w:val="00167950"/>
    <w:rsid w:val="001741EE"/>
    <w:rsid w:val="00176D3D"/>
    <w:rsid w:val="00185BDC"/>
    <w:rsid w:val="0019148B"/>
    <w:rsid w:val="001922F2"/>
    <w:rsid w:val="0019678E"/>
    <w:rsid w:val="001977C1"/>
    <w:rsid w:val="001B06C1"/>
    <w:rsid w:val="001B5F66"/>
    <w:rsid w:val="001D5E74"/>
    <w:rsid w:val="001D619F"/>
    <w:rsid w:val="001D7482"/>
    <w:rsid w:val="001E779D"/>
    <w:rsid w:val="001E7C76"/>
    <w:rsid w:val="001F4B12"/>
    <w:rsid w:val="0020512B"/>
    <w:rsid w:val="0021244B"/>
    <w:rsid w:val="0021316F"/>
    <w:rsid w:val="00214085"/>
    <w:rsid w:val="00215C69"/>
    <w:rsid w:val="002176A1"/>
    <w:rsid w:val="0023107D"/>
    <w:rsid w:val="002316A3"/>
    <w:rsid w:val="00237C01"/>
    <w:rsid w:val="002406AF"/>
    <w:rsid w:val="00241DC4"/>
    <w:rsid w:val="00246C18"/>
    <w:rsid w:val="00247A50"/>
    <w:rsid w:val="00251A5B"/>
    <w:rsid w:val="002559F2"/>
    <w:rsid w:val="00260FC6"/>
    <w:rsid w:val="0027487D"/>
    <w:rsid w:val="00280CF7"/>
    <w:rsid w:val="00281F39"/>
    <w:rsid w:val="00284637"/>
    <w:rsid w:val="00285987"/>
    <w:rsid w:val="002929F5"/>
    <w:rsid w:val="0029454E"/>
    <w:rsid w:val="002A02DB"/>
    <w:rsid w:val="002A1D58"/>
    <w:rsid w:val="002B0B24"/>
    <w:rsid w:val="002B5DA4"/>
    <w:rsid w:val="002B7F3D"/>
    <w:rsid w:val="002C6116"/>
    <w:rsid w:val="002D28DA"/>
    <w:rsid w:val="002D38B9"/>
    <w:rsid w:val="002D573E"/>
    <w:rsid w:val="002E3211"/>
    <w:rsid w:val="002F10D2"/>
    <w:rsid w:val="00305F82"/>
    <w:rsid w:val="00330F85"/>
    <w:rsid w:val="00340D84"/>
    <w:rsid w:val="003477B4"/>
    <w:rsid w:val="003538A2"/>
    <w:rsid w:val="00366411"/>
    <w:rsid w:val="0037217C"/>
    <w:rsid w:val="00377BA9"/>
    <w:rsid w:val="00377DFE"/>
    <w:rsid w:val="003854F0"/>
    <w:rsid w:val="003955F6"/>
    <w:rsid w:val="003A31D5"/>
    <w:rsid w:val="003A5133"/>
    <w:rsid w:val="003C3773"/>
    <w:rsid w:val="003C73D8"/>
    <w:rsid w:val="003D1891"/>
    <w:rsid w:val="003D2629"/>
    <w:rsid w:val="003D4F7E"/>
    <w:rsid w:val="003D7366"/>
    <w:rsid w:val="003E507C"/>
    <w:rsid w:val="003E6F6F"/>
    <w:rsid w:val="003F298B"/>
    <w:rsid w:val="003F4310"/>
    <w:rsid w:val="00401005"/>
    <w:rsid w:val="00406A15"/>
    <w:rsid w:val="00411BDA"/>
    <w:rsid w:val="004165CE"/>
    <w:rsid w:val="00423D35"/>
    <w:rsid w:val="00433AC4"/>
    <w:rsid w:val="00441AED"/>
    <w:rsid w:val="0045017F"/>
    <w:rsid w:val="004623C3"/>
    <w:rsid w:val="004758A8"/>
    <w:rsid w:val="00476A96"/>
    <w:rsid w:val="004954E4"/>
    <w:rsid w:val="004A10FA"/>
    <w:rsid w:val="004A3F3B"/>
    <w:rsid w:val="004C5B5F"/>
    <w:rsid w:val="004C7EE2"/>
    <w:rsid w:val="004E3199"/>
    <w:rsid w:val="004F5433"/>
    <w:rsid w:val="00501B22"/>
    <w:rsid w:val="005042B0"/>
    <w:rsid w:val="00520AF6"/>
    <w:rsid w:val="00534D04"/>
    <w:rsid w:val="005366B3"/>
    <w:rsid w:val="005445FA"/>
    <w:rsid w:val="00546602"/>
    <w:rsid w:val="00550F55"/>
    <w:rsid w:val="0055254D"/>
    <w:rsid w:val="00560DBE"/>
    <w:rsid w:val="00561638"/>
    <w:rsid w:val="00563777"/>
    <w:rsid w:val="00563C1F"/>
    <w:rsid w:val="00565A3E"/>
    <w:rsid w:val="00566009"/>
    <w:rsid w:val="00573305"/>
    <w:rsid w:val="00596D9B"/>
    <w:rsid w:val="00597E63"/>
    <w:rsid w:val="005A5483"/>
    <w:rsid w:val="005A5933"/>
    <w:rsid w:val="005B3F8D"/>
    <w:rsid w:val="005C08DD"/>
    <w:rsid w:val="005D5598"/>
    <w:rsid w:val="005E1121"/>
    <w:rsid w:val="005E15F4"/>
    <w:rsid w:val="005F0F20"/>
    <w:rsid w:val="005F1F3A"/>
    <w:rsid w:val="005F3723"/>
    <w:rsid w:val="005F62D5"/>
    <w:rsid w:val="0062454D"/>
    <w:rsid w:val="006337C9"/>
    <w:rsid w:val="0064656F"/>
    <w:rsid w:val="00654848"/>
    <w:rsid w:val="006839B0"/>
    <w:rsid w:val="00684696"/>
    <w:rsid w:val="00685E63"/>
    <w:rsid w:val="00687049"/>
    <w:rsid w:val="00690ECF"/>
    <w:rsid w:val="006A0758"/>
    <w:rsid w:val="006A4C50"/>
    <w:rsid w:val="006A7B6B"/>
    <w:rsid w:val="006C0BE7"/>
    <w:rsid w:val="006D4AF1"/>
    <w:rsid w:val="006E7407"/>
    <w:rsid w:val="006F62C4"/>
    <w:rsid w:val="006F6BE8"/>
    <w:rsid w:val="006F6E29"/>
    <w:rsid w:val="00702AE7"/>
    <w:rsid w:val="00703F28"/>
    <w:rsid w:val="00706FC4"/>
    <w:rsid w:val="007152F8"/>
    <w:rsid w:val="007225CB"/>
    <w:rsid w:val="00722719"/>
    <w:rsid w:val="007270BB"/>
    <w:rsid w:val="00733B00"/>
    <w:rsid w:val="007453A5"/>
    <w:rsid w:val="007546AA"/>
    <w:rsid w:val="00755298"/>
    <w:rsid w:val="00765FB0"/>
    <w:rsid w:val="00776BEF"/>
    <w:rsid w:val="00777841"/>
    <w:rsid w:val="007803C8"/>
    <w:rsid w:val="00782773"/>
    <w:rsid w:val="00790F31"/>
    <w:rsid w:val="0079637E"/>
    <w:rsid w:val="007A500C"/>
    <w:rsid w:val="007A6F34"/>
    <w:rsid w:val="007B20DD"/>
    <w:rsid w:val="007B6021"/>
    <w:rsid w:val="007B61D8"/>
    <w:rsid w:val="007D217C"/>
    <w:rsid w:val="007D21CD"/>
    <w:rsid w:val="007D24ED"/>
    <w:rsid w:val="007D2B91"/>
    <w:rsid w:val="007E78F7"/>
    <w:rsid w:val="007F6710"/>
    <w:rsid w:val="00801A48"/>
    <w:rsid w:val="00807E9D"/>
    <w:rsid w:val="00810810"/>
    <w:rsid w:val="00820333"/>
    <w:rsid w:val="00824AA3"/>
    <w:rsid w:val="008322FD"/>
    <w:rsid w:val="00832E64"/>
    <w:rsid w:val="00833E77"/>
    <w:rsid w:val="008441E1"/>
    <w:rsid w:val="00845F2F"/>
    <w:rsid w:val="0084675F"/>
    <w:rsid w:val="00847A87"/>
    <w:rsid w:val="00850650"/>
    <w:rsid w:val="008557E6"/>
    <w:rsid w:val="00865294"/>
    <w:rsid w:val="00874446"/>
    <w:rsid w:val="00877173"/>
    <w:rsid w:val="008819FE"/>
    <w:rsid w:val="00883191"/>
    <w:rsid w:val="00891B13"/>
    <w:rsid w:val="00893A91"/>
    <w:rsid w:val="008951FD"/>
    <w:rsid w:val="008B2716"/>
    <w:rsid w:val="008C1F2F"/>
    <w:rsid w:val="008C4EC6"/>
    <w:rsid w:val="008D2710"/>
    <w:rsid w:val="008D3C97"/>
    <w:rsid w:val="008E4CAA"/>
    <w:rsid w:val="008E74B4"/>
    <w:rsid w:val="008F3251"/>
    <w:rsid w:val="00913464"/>
    <w:rsid w:val="00921E8D"/>
    <w:rsid w:val="0093146B"/>
    <w:rsid w:val="0093465C"/>
    <w:rsid w:val="00937283"/>
    <w:rsid w:val="0094707B"/>
    <w:rsid w:val="00965577"/>
    <w:rsid w:val="0097368D"/>
    <w:rsid w:val="009977F1"/>
    <w:rsid w:val="0099781D"/>
    <w:rsid w:val="009A02AA"/>
    <w:rsid w:val="009A24D8"/>
    <w:rsid w:val="009A682C"/>
    <w:rsid w:val="009C069D"/>
    <w:rsid w:val="009C7491"/>
    <w:rsid w:val="009D1C32"/>
    <w:rsid w:val="009D1CFB"/>
    <w:rsid w:val="009E3165"/>
    <w:rsid w:val="009F25F7"/>
    <w:rsid w:val="009F734F"/>
    <w:rsid w:val="00A0676A"/>
    <w:rsid w:val="00A108E3"/>
    <w:rsid w:val="00A12BDE"/>
    <w:rsid w:val="00A13A8C"/>
    <w:rsid w:val="00A1415C"/>
    <w:rsid w:val="00A16D99"/>
    <w:rsid w:val="00A16E40"/>
    <w:rsid w:val="00A350B3"/>
    <w:rsid w:val="00A441B7"/>
    <w:rsid w:val="00A50D38"/>
    <w:rsid w:val="00A53849"/>
    <w:rsid w:val="00A55EF2"/>
    <w:rsid w:val="00A60AC2"/>
    <w:rsid w:val="00A625D5"/>
    <w:rsid w:val="00A630E1"/>
    <w:rsid w:val="00A727B5"/>
    <w:rsid w:val="00A80136"/>
    <w:rsid w:val="00A8107C"/>
    <w:rsid w:val="00A86D1F"/>
    <w:rsid w:val="00A950A1"/>
    <w:rsid w:val="00AB71F7"/>
    <w:rsid w:val="00AC0CD9"/>
    <w:rsid w:val="00AD7316"/>
    <w:rsid w:val="00AD78CA"/>
    <w:rsid w:val="00AF19C6"/>
    <w:rsid w:val="00AF581D"/>
    <w:rsid w:val="00AF6A5B"/>
    <w:rsid w:val="00B01397"/>
    <w:rsid w:val="00B01C8D"/>
    <w:rsid w:val="00B20BFD"/>
    <w:rsid w:val="00B21D9A"/>
    <w:rsid w:val="00B258EC"/>
    <w:rsid w:val="00B32AF1"/>
    <w:rsid w:val="00B34F82"/>
    <w:rsid w:val="00B5273F"/>
    <w:rsid w:val="00B549F6"/>
    <w:rsid w:val="00B64EEB"/>
    <w:rsid w:val="00B6689A"/>
    <w:rsid w:val="00B6707D"/>
    <w:rsid w:val="00B8083C"/>
    <w:rsid w:val="00B90C2A"/>
    <w:rsid w:val="00B93752"/>
    <w:rsid w:val="00BA4EED"/>
    <w:rsid w:val="00BB5C7C"/>
    <w:rsid w:val="00BC7C99"/>
    <w:rsid w:val="00BD104D"/>
    <w:rsid w:val="00BE4986"/>
    <w:rsid w:val="00BE6018"/>
    <w:rsid w:val="00BF38CA"/>
    <w:rsid w:val="00BF5943"/>
    <w:rsid w:val="00BF5F1F"/>
    <w:rsid w:val="00C05F99"/>
    <w:rsid w:val="00C11572"/>
    <w:rsid w:val="00C147E0"/>
    <w:rsid w:val="00C211F4"/>
    <w:rsid w:val="00C32569"/>
    <w:rsid w:val="00C520D2"/>
    <w:rsid w:val="00C5248E"/>
    <w:rsid w:val="00C557F8"/>
    <w:rsid w:val="00C564F2"/>
    <w:rsid w:val="00C63883"/>
    <w:rsid w:val="00C64625"/>
    <w:rsid w:val="00C74E76"/>
    <w:rsid w:val="00C80F32"/>
    <w:rsid w:val="00C85D36"/>
    <w:rsid w:val="00C868D5"/>
    <w:rsid w:val="00C90CA8"/>
    <w:rsid w:val="00C93C7B"/>
    <w:rsid w:val="00C97CFC"/>
    <w:rsid w:val="00CA4801"/>
    <w:rsid w:val="00CA5DB4"/>
    <w:rsid w:val="00CB6617"/>
    <w:rsid w:val="00CC391B"/>
    <w:rsid w:val="00CC67B7"/>
    <w:rsid w:val="00CD0601"/>
    <w:rsid w:val="00CD499F"/>
    <w:rsid w:val="00CE2D97"/>
    <w:rsid w:val="00CE5DF7"/>
    <w:rsid w:val="00CF2BAC"/>
    <w:rsid w:val="00CF3B73"/>
    <w:rsid w:val="00D06A53"/>
    <w:rsid w:val="00D21F8B"/>
    <w:rsid w:val="00D357CE"/>
    <w:rsid w:val="00D41FDF"/>
    <w:rsid w:val="00D438CE"/>
    <w:rsid w:val="00D5002B"/>
    <w:rsid w:val="00D517C5"/>
    <w:rsid w:val="00D525BB"/>
    <w:rsid w:val="00D54A12"/>
    <w:rsid w:val="00D6622C"/>
    <w:rsid w:val="00D67053"/>
    <w:rsid w:val="00D84BFD"/>
    <w:rsid w:val="00DA7A6E"/>
    <w:rsid w:val="00DB01DB"/>
    <w:rsid w:val="00DB383C"/>
    <w:rsid w:val="00DC5C67"/>
    <w:rsid w:val="00DE19F3"/>
    <w:rsid w:val="00DF0F93"/>
    <w:rsid w:val="00E02520"/>
    <w:rsid w:val="00E05F7E"/>
    <w:rsid w:val="00E16B69"/>
    <w:rsid w:val="00E16E9C"/>
    <w:rsid w:val="00E20ABA"/>
    <w:rsid w:val="00E25530"/>
    <w:rsid w:val="00E27001"/>
    <w:rsid w:val="00E31A28"/>
    <w:rsid w:val="00E31E7A"/>
    <w:rsid w:val="00E320F4"/>
    <w:rsid w:val="00E3258B"/>
    <w:rsid w:val="00E34324"/>
    <w:rsid w:val="00E51D70"/>
    <w:rsid w:val="00E575F5"/>
    <w:rsid w:val="00E700FC"/>
    <w:rsid w:val="00E7088E"/>
    <w:rsid w:val="00E845BC"/>
    <w:rsid w:val="00E84CF6"/>
    <w:rsid w:val="00E91F00"/>
    <w:rsid w:val="00E9204E"/>
    <w:rsid w:val="00EA2718"/>
    <w:rsid w:val="00EA3555"/>
    <w:rsid w:val="00EC3420"/>
    <w:rsid w:val="00EC6347"/>
    <w:rsid w:val="00EC6A33"/>
    <w:rsid w:val="00ED52A6"/>
    <w:rsid w:val="00EE4986"/>
    <w:rsid w:val="00EF42BB"/>
    <w:rsid w:val="00EF4DE1"/>
    <w:rsid w:val="00F00EB0"/>
    <w:rsid w:val="00F030DA"/>
    <w:rsid w:val="00F069C0"/>
    <w:rsid w:val="00F07E62"/>
    <w:rsid w:val="00F224A2"/>
    <w:rsid w:val="00F32729"/>
    <w:rsid w:val="00F40C49"/>
    <w:rsid w:val="00F42D0B"/>
    <w:rsid w:val="00F443D9"/>
    <w:rsid w:val="00F45E5B"/>
    <w:rsid w:val="00F56B52"/>
    <w:rsid w:val="00F57A0F"/>
    <w:rsid w:val="00F629B7"/>
    <w:rsid w:val="00F62E2E"/>
    <w:rsid w:val="00F64175"/>
    <w:rsid w:val="00F64D0A"/>
    <w:rsid w:val="00F65C3C"/>
    <w:rsid w:val="00F74F02"/>
    <w:rsid w:val="00F80906"/>
    <w:rsid w:val="00F863A9"/>
    <w:rsid w:val="00F8791E"/>
    <w:rsid w:val="00F93A3C"/>
    <w:rsid w:val="00FA2885"/>
    <w:rsid w:val="00FB0E18"/>
    <w:rsid w:val="00FB3E05"/>
    <w:rsid w:val="00FC24D2"/>
    <w:rsid w:val="00FC76AC"/>
    <w:rsid w:val="00FF03AB"/>
    <w:rsid w:val="00FF0541"/>
    <w:rsid w:val="00FF1092"/>
    <w:rsid w:val="00FF72BA"/>
    <w:rsid w:val="00FF7318"/>
    <w:rsid w:val="0181B231"/>
    <w:rsid w:val="01D58418"/>
    <w:rsid w:val="04E09379"/>
    <w:rsid w:val="050E52CF"/>
    <w:rsid w:val="051B911E"/>
    <w:rsid w:val="0534684A"/>
    <w:rsid w:val="07F9148D"/>
    <w:rsid w:val="087F86F0"/>
    <w:rsid w:val="0B0F6C1A"/>
    <w:rsid w:val="0B10FDB2"/>
    <w:rsid w:val="0C4FDDB7"/>
    <w:rsid w:val="0C68F51E"/>
    <w:rsid w:val="0C960988"/>
    <w:rsid w:val="0CA6A6D7"/>
    <w:rsid w:val="0CC4F956"/>
    <w:rsid w:val="0D5B376F"/>
    <w:rsid w:val="0EF37901"/>
    <w:rsid w:val="1058BB8E"/>
    <w:rsid w:val="10FC6C82"/>
    <w:rsid w:val="11E29259"/>
    <w:rsid w:val="12B22F4D"/>
    <w:rsid w:val="12C4E3B1"/>
    <w:rsid w:val="12D943B7"/>
    <w:rsid w:val="12EC1CBD"/>
    <w:rsid w:val="133B5E17"/>
    <w:rsid w:val="163760CE"/>
    <w:rsid w:val="169D29B7"/>
    <w:rsid w:val="16ECE6C2"/>
    <w:rsid w:val="182F6D23"/>
    <w:rsid w:val="195B6433"/>
    <w:rsid w:val="1A09619B"/>
    <w:rsid w:val="1ACFF596"/>
    <w:rsid w:val="1BA40268"/>
    <w:rsid w:val="1BB703A7"/>
    <w:rsid w:val="1C8A482F"/>
    <w:rsid w:val="2032318D"/>
    <w:rsid w:val="262419D8"/>
    <w:rsid w:val="26F3E07E"/>
    <w:rsid w:val="27F2D815"/>
    <w:rsid w:val="298EA876"/>
    <w:rsid w:val="29DF6025"/>
    <w:rsid w:val="2ABBE411"/>
    <w:rsid w:val="2B2DD10D"/>
    <w:rsid w:val="2C56E27E"/>
    <w:rsid w:val="2C616A52"/>
    <w:rsid w:val="2D54343E"/>
    <w:rsid w:val="2DFAD23B"/>
    <w:rsid w:val="2E9276D5"/>
    <w:rsid w:val="3090D9E7"/>
    <w:rsid w:val="35485DF0"/>
    <w:rsid w:val="3609AD5E"/>
    <w:rsid w:val="374AB71E"/>
    <w:rsid w:val="38160685"/>
    <w:rsid w:val="3B38292B"/>
    <w:rsid w:val="3EDF6FC2"/>
    <w:rsid w:val="3FA6B7D1"/>
    <w:rsid w:val="40C5E3B4"/>
    <w:rsid w:val="461A7453"/>
    <w:rsid w:val="47C18070"/>
    <w:rsid w:val="48E2BAF2"/>
    <w:rsid w:val="492F5887"/>
    <w:rsid w:val="4B200A70"/>
    <w:rsid w:val="4BAF49DF"/>
    <w:rsid w:val="4C290CC7"/>
    <w:rsid w:val="501FF099"/>
    <w:rsid w:val="510CB9AA"/>
    <w:rsid w:val="517488EF"/>
    <w:rsid w:val="52EAC665"/>
    <w:rsid w:val="54E419A0"/>
    <w:rsid w:val="55803882"/>
    <w:rsid w:val="5611CBD7"/>
    <w:rsid w:val="563FBCB6"/>
    <w:rsid w:val="5652ACCE"/>
    <w:rsid w:val="57623B59"/>
    <w:rsid w:val="585595C5"/>
    <w:rsid w:val="58C68465"/>
    <w:rsid w:val="58EC917B"/>
    <w:rsid w:val="5A25CEBA"/>
    <w:rsid w:val="5A6A01A7"/>
    <w:rsid w:val="5A789C61"/>
    <w:rsid w:val="5B49D70F"/>
    <w:rsid w:val="5C041DFB"/>
    <w:rsid w:val="5CCA149C"/>
    <w:rsid w:val="5CE5A770"/>
    <w:rsid w:val="5F5F9C3D"/>
    <w:rsid w:val="636069ED"/>
    <w:rsid w:val="64FF617C"/>
    <w:rsid w:val="66E31234"/>
    <w:rsid w:val="67570AD3"/>
    <w:rsid w:val="676D6DD0"/>
    <w:rsid w:val="67B00EC9"/>
    <w:rsid w:val="688B3BC6"/>
    <w:rsid w:val="68BDC15F"/>
    <w:rsid w:val="68CCEACA"/>
    <w:rsid w:val="693FA466"/>
    <w:rsid w:val="6A6B6B9E"/>
    <w:rsid w:val="6ACF02DF"/>
    <w:rsid w:val="6B99FD1B"/>
    <w:rsid w:val="6BA162F9"/>
    <w:rsid w:val="6BBD89C5"/>
    <w:rsid w:val="6E09AFAF"/>
    <w:rsid w:val="6E0DF8EF"/>
    <w:rsid w:val="6E7FEC79"/>
    <w:rsid w:val="6F6BDA43"/>
    <w:rsid w:val="6F7BBA46"/>
    <w:rsid w:val="723F3B88"/>
    <w:rsid w:val="725672AB"/>
    <w:rsid w:val="73D8DAE8"/>
    <w:rsid w:val="741A66DA"/>
    <w:rsid w:val="741AF42E"/>
    <w:rsid w:val="74DB0B93"/>
    <w:rsid w:val="76CDE49A"/>
    <w:rsid w:val="780DA662"/>
    <w:rsid w:val="7854D9CF"/>
    <w:rsid w:val="79568488"/>
    <w:rsid w:val="79E26AA4"/>
    <w:rsid w:val="7A10326F"/>
    <w:rsid w:val="7C6A4343"/>
    <w:rsid w:val="7C8BBDCD"/>
    <w:rsid w:val="7D49C3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F5F8D"/>
  <w15:chartTrackingRefBased/>
  <w15:docId w15:val="{370C1387-5BE5-419A-8B6F-431BB1B58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F7E"/>
  </w:style>
  <w:style w:type="paragraph" w:styleId="Heading1">
    <w:name w:val="heading 1"/>
    <w:basedOn w:val="Normal"/>
    <w:next w:val="Normal"/>
    <w:link w:val="Heading1Char"/>
    <w:uiPriority w:val="9"/>
    <w:qFormat/>
    <w:rsid w:val="00E845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45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01C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845B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845B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845B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45B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45B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45B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5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45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01C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845B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845B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845B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45B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45B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45B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4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5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5B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5B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45BC"/>
    <w:pPr>
      <w:spacing w:before="160"/>
      <w:jc w:val="center"/>
    </w:pPr>
    <w:rPr>
      <w:i/>
      <w:iCs/>
      <w:color w:val="404040" w:themeColor="text1" w:themeTint="BF"/>
    </w:rPr>
  </w:style>
  <w:style w:type="character" w:customStyle="1" w:styleId="QuoteChar">
    <w:name w:val="Quote Char"/>
    <w:basedOn w:val="DefaultParagraphFont"/>
    <w:link w:val="Quote"/>
    <w:uiPriority w:val="29"/>
    <w:rsid w:val="00E845BC"/>
    <w:rPr>
      <w:i/>
      <w:iCs/>
      <w:color w:val="404040" w:themeColor="text1" w:themeTint="BF"/>
    </w:rPr>
  </w:style>
  <w:style w:type="paragraph" w:styleId="ListParagraph">
    <w:name w:val="List Paragraph"/>
    <w:basedOn w:val="Normal"/>
    <w:uiPriority w:val="34"/>
    <w:qFormat/>
    <w:rsid w:val="00E845BC"/>
    <w:pPr>
      <w:ind w:left="720"/>
      <w:contextualSpacing/>
    </w:pPr>
  </w:style>
  <w:style w:type="character" w:styleId="IntenseEmphasis">
    <w:name w:val="Intense Emphasis"/>
    <w:basedOn w:val="DefaultParagraphFont"/>
    <w:uiPriority w:val="21"/>
    <w:qFormat/>
    <w:rsid w:val="00E845BC"/>
    <w:rPr>
      <w:i/>
      <w:iCs/>
      <w:color w:val="0F4761" w:themeColor="accent1" w:themeShade="BF"/>
    </w:rPr>
  </w:style>
  <w:style w:type="paragraph" w:styleId="IntenseQuote">
    <w:name w:val="Intense Quote"/>
    <w:basedOn w:val="Normal"/>
    <w:next w:val="Normal"/>
    <w:link w:val="IntenseQuoteChar"/>
    <w:uiPriority w:val="30"/>
    <w:qFormat/>
    <w:rsid w:val="00E84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45BC"/>
    <w:rPr>
      <w:i/>
      <w:iCs/>
      <w:color w:val="0F4761" w:themeColor="accent1" w:themeShade="BF"/>
    </w:rPr>
  </w:style>
  <w:style w:type="character" w:styleId="IntenseReference">
    <w:name w:val="Intense Reference"/>
    <w:basedOn w:val="DefaultParagraphFont"/>
    <w:uiPriority w:val="32"/>
    <w:qFormat/>
    <w:rsid w:val="00E845BC"/>
    <w:rPr>
      <w:b/>
      <w:bCs/>
      <w:smallCaps/>
      <w:color w:val="0F4761" w:themeColor="accent1" w:themeShade="BF"/>
      <w:spacing w:val="5"/>
    </w:rPr>
  </w:style>
  <w:style w:type="table" w:styleId="TableGrid">
    <w:name w:val="Table Grid"/>
    <w:basedOn w:val="TableNormal"/>
    <w:uiPriority w:val="39"/>
    <w:rsid w:val="00E845BC"/>
    <w:pPr>
      <w:spacing w:after="0" w:line="240" w:lineRule="auto"/>
    </w:pPr>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6710"/>
    <w:rPr>
      <w:color w:val="467886" w:themeColor="hyperlink"/>
      <w:u w:val="single"/>
    </w:rPr>
  </w:style>
  <w:style w:type="character" w:styleId="CommentReference">
    <w:name w:val="annotation reference"/>
    <w:basedOn w:val="DefaultParagraphFont"/>
    <w:uiPriority w:val="99"/>
    <w:semiHidden/>
    <w:unhideWhenUsed/>
    <w:rsid w:val="007F6710"/>
    <w:rPr>
      <w:sz w:val="16"/>
      <w:szCs w:val="16"/>
    </w:rPr>
  </w:style>
  <w:style w:type="paragraph" w:styleId="CommentText">
    <w:name w:val="annotation text"/>
    <w:basedOn w:val="Normal"/>
    <w:link w:val="CommentTextChar"/>
    <w:uiPriority w:val="99"/>
    <w:unhideWhenUsed/>
    <w:rsid w:val="007F6710"/>
    <w:pPr>
      <w:spacing w:line="240" w:lineRule="auto"/>
    </w:pPr>
    <w:rPr>
      <w:sz w:val="20"/>
      <w:szCs w:val="20"/>
    </w:rPr>
  </w:style>
  <w:style w:type="character" w:customStyle="1" w:styleId="CommentTextChar">
    <w:name w:val="Comment Text Char"/>
    <w:basedOn w:val="DefaultParagraphFont"/>
    <w:link w:val="CommentText"/>
    <w:uiPriority w:val="99"/>
    <w:rsid w:val="007F6710"/>
    <w:rPr>
      <w:sz w:val="20"/>
      <w:szCs w:val="20"/>
    </w:rPr>
  </w:style>
  <w:style w:type="paragraph" w:styleId="CommentSubject">
    <w:name w:val="annotation subject"/>
    <w:basedOn w:val="CommentText"/>
    <w:next w:val="CommentText"/>
    <w:link w:val="CommentSubjectChar"/>
    <w:uiPriority w:val="99"/>
    <w:semiHidden/>
    <w:unhideWhenUsed/>
    <w:rsid w:val="007F6710"/>
    <w:rPr>
      <w:b/>
      <w:bCs/>
    </w:rPr>
  </w:style>
  <w:style w:type="character" w:customStyle="1" w:styleId="CommentSubjectChar">
    <w:name w:val="Comment Subject Char"/>
    <w:basedOn w:val="CommentTextChar"/>
    <w:link w:val="CommentSubject"/>
    <w:uiPriority w:val="99"/>
    <w:semiHidden/>
    <w:rsid w:val="007F6710"/>
    <w:rPr>
      <w:b/>
      <w:bCs/>
      <w:sz w:val="20"/>
      <w:szCs w:val="20"/>
    </w:rPr>
  </w:style>
  <w:style w:type="character" w:styleId="Mention">
    <w:name w:val="Mention"/>
    <w:basedOn w:val="DefaultParagraphFont"/>
    <w:uiPriority w:val="99"/>
    <w:unhideWhenUsed/>
    <w:rPr>
      <w:color w:val="2B579A"/>
      <w:shd w:val="clear" w:color="auto" w:fill="E6E6E6"/>
    </w:rPr>
  </w:style>
  <w:style w:type="paragraph" w:styleId="TOCHeading">
    <w:name w:val="TOC Heading"/>
    <w:basedOn w:val="Heading1"/>
    <w:next w:val="Normal"/>
    <w:uiPriority w:val="39"/>
    <w:unhideWhenUsed/>
    <w:qFormat/>
    <w:rsid w:val="003E507C"/>
    <w:pPr>
      <w:spacing w:before="240" w:after="0" w:line="259" w:lineRule="auto"/>
      <w:outlineLvl w:val="9"/>
    </w:pPr>
    <w:rPr>
      <w:kern w:val="0"/>
      <w:sz w:val="32"/>
      <w:szCs w:val="32"/>
      <w:lang w:val="en-US"/>
      <w14:ligatures w14:val="none"/>
    </w:rPr>
  </w:style>
  <w:style w:type="paragraph" w:styleId="Header">
    <w:name w:val="header"/>
    <w:basedOn w:val="Normal"/>
    <w:link w:val="HeaderChar"/>
    <w:uiPriority w:val="99"/>
    <w:unhideWhenUsed/>
    <w:rsid w:val="000951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19E"/>
  </w:style>
  <w:style w:type="paragraph" w:styleId="Footer">
    <w:name w:val="footer"/>
    <w:basedOn w:val="Normal"/>
    <w:link w:val="FooterChar"/>
    <w:uiPriority w:val="99"/>
    <w:unhideWhenUsed/>
    <w:rsid w:val="000951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19E"/>
  </w:style>
  <w:style w:type="paragraph" w:styleId="TOC1">
    <w:name w:val="toc 1"/>
    <w:basedOn w:val="Normal"/>
    <w:next w:val="Normal"/>
    <w:autoRedefine/>
    <w:uiPriority w:val="39"/>
    <w:unhideWhenUsed/>
    <w:rsid w:val="00247A50"/>
    <w:pPr>
      <w:spacing w:after="100"/>
    </w:pPr>
  </w:style>
  <w:style w:type="paragraph" w:styleId="TOC3">
    <w:name w:val="toc 3"/>
    <w:basedOn w:val="Normal"/>
    <w:next w:val="Normal"/>
    <w:autoRedefine/>
    <w:uiPriority w:val="39"/>
    <w:unhideWhenUsed/>
    <w:rsid w:val="00247A50"/>
    <w:pPr>
      <w:spacing w:after="100"/>
      <w:ind w:left="440"/>
    </w:pPr>
  </w:style>
  <w:style w:type="paragraph" w:styleId="TOC2">
    <w:name w:val="toc 2"/>
    <w:basedOn w:val="Normal"/>
    <w:next w:val="Normal"/>
    <w:autoRedefine/>
    <w:uiPriority w:val="39"/>
    <w:unhideWhenUsed/>
    <w:rsid w:val="00247A50"/>
    <w:pPr>
      <w:spacing w:after="100" w:line="259" w:lineRule="auto"/>
      <w:ind w:left="220"/>
    </w:pPr>
    <w:rPr>
      <w:rFonts w:asciiTheme="minorHAnsi" w:eastAsiaTheme="minorEastAsia" w:hAnsiTheme="minorHAns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16220af-401a-41a4-b6ca-9b3d9dbdd328" xsi:nil="true"/>
    <lcf76f155ced4ddcb4097134ff3c332f xmlns="8ec39a83-c236-4023-b129-890184d00cd4">
      <Terms xmlns="http://schemas.microsoft.com/office/infopath/2007/PartnerControls"/>
    </lcf76f155ced4ddcb4097134ff3c332f>
    <_Flow_SignoffStatus xmlns="8ec39a83-c236-4023-b129-890184d00cd4" xsi:nil="true"/>
    <SharedWithUsers xmlns="a16220af-401a-41a4-b6ca-9b3d9dbdd328">
      <UserInfo>
        <DisplayName>Tom Banham</DisplayName>
        <AccountId>12</AccountId>
        <AccountType/>
      </UserInfo>
      <UserInfo>
        <DisplayName>Andrew Ravenscroft</DisplayName>
        <AccountId>46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F4216BB06BB7498E69BFB7851217C3" ma:contentTypeVersion="19" ma:contentTypeDescription="Create a new document." ma:contentTypeScope="" ma:versionID="3d2007cb4841bd3f5218dc4c9f137613">
  <xsd:schema xmlns:xsd="http://www.w3.org/2001/XMLSchema" xmlns:xs="http://www.w3.org/2001/XMLSchema" xmlns:p="http://schemas.microsoft.com/office/2006/metadata/properties" xmlns:ns2="8ec39a83-c236-4023-b129-890184d00cd4" xmlns:ns3="a16220af-401a-41a4-b6ca-9b3d9dbdd328" targetNamespace="http://schemas.microsoft.com/office/2006/metadata/properties" ma:root="true" ma:fieldsID="e28c5df83b061e7c43987be3dd7d6e38" ns2:_="" ns3:_="">
    <xsd:import namespace="8ec39a83-c236-4023-b129-890184d00cd4"/>
    <xsd:import namespace="a16220af-401a-41a4-b6ca-9b3d9dbdd3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39a83-c236-4023-b129-890184d00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ff565d-a9f9-42cd-b847-2a1698f697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6220af-401a-41a4-b6ca-9b3d9dbdd32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3a4081-9f2c-421e-b24d-f2bf4c84661e}" ma:internalName="TaxCatchAll" ma:showField="CatchAllData" ma:web="a16220af-401a-41a4-b6ca-9b3d9dbdd3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C0B68-02C7-4ECF-A03E-1F8A5EAAFBA2}">
  <ds:schemaRefs>
    <ds:schemaRef ds:uri="http://schemas.microsoft.com/sharepoint/v3/contenttype/forms"/>
  </ds:schemaRefs>
</ds:datastoreItem>
</file>

<file path=customXml/itemProps2.xml><?xml version="1.0" encoding="utf-8"?>
<ds:datastoreItem xmlns:ds="http://schemas.openxmlformats.org/officeDocument/2006/customXml" ds:itemID="{BB6BCC59-EF3E-461D-A5E1-FC087E6572D9}">
  <ds:schemaRefs>
    <ds:schemaRef ds:uri="http://schemas.microsoft.com/office/2006/metadata/properties"/>
    <ds:schemaRef ds:uri="http://schemas.microsoft.com/office/infopath/2007/PartnerControls"/>
    <ds:schemaRef ds:uri="a16220af-401a-41a4-b6ca-9b3d9dbdd328"/>
    <ds:schemaRef ds:uri="8ec39a83-c236-4023-b129-890184d00cd4"/>
  </ds:schemaRefs>
</ds:datastoreItem>
</file>

<file path=customXml/itemProps3.xml><?xml version="1.0" encoding="utf-8"?>
<ds:datastoreItem xmlns:ds="http://schemas.openxmlformats.org/officeDocument/2006/customXml" ds:itemID="{AD9B3D8A-BEAF-46E4-88D0-CC3025528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39a83-c236-4023-b129-890184d00cd4"/>
    <ds:schemaRef ds:uri="a16220af-401a-41a4-b6ca-9b3d9dbdd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8BE9F8-64C0-4917-A8FB-483633A42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1484</Words>
  <Characters>7947</Characters>
  <Application>Microsoft Office Word</Application>
  <DocSecurity>0</DocSecurity>
  <Lines>160</Lines>
  <Paragraphs>90</Paragraphs>
  <ScaleCrop>false</ScaleCrop>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Harrison</dc:creator>
  <cp:keywords/>
  <dc:description/>
  <cp:lastModifiedBy>Ange Brown</cp:lastModifiedBy>
  <cp:revision>2</cp:revision>
  <cp:lastPrinted>2024-05-28T08:50:00Z</cp:lastPrinted>
  <dcterms:created xsi:type="dcterms:W3CDTF">2026-04-24T09:28:00Z</dcterms:created>
  <dcterms:modified xsi:type="dcterms:W3CDTF">2026-04-24T09:28:00Z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0x01010059F4216BB06BB7498E69BFB7851217C3</vt:lpwstr>
  </property>
  <property fmtid="{D5CDD505-2E9C-101B-9397-08002B2CF9AE}" pid="3" name="MediaServiceImageTags">
    <vt:lpwstr/>
  </property>
</Properties>
</file>