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5EFBB0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A41781">
        <w:t>Mapplewell</w:t>
      </w:r>
      <w:r w:rsidR="006C196D">
        <w:t xml:space="preserve"> Primary School</w:t>
      </w:r>
      <w:r w:rsidR="0095146F">
        <w:t xml:space="preserve"> 2025 - 2028</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673FD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673FD3" w:rsidRDefault="00673FD3" w:rsidP="00673FD3">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7CE121FD" w:rsidR="00673FD3" w:rsidRDefault="00673FD3" w:rsidP="00673FD3">
            <w:pPr>
              <w:pStyle w:val="TableRow"/>
              <w:ind w:left="0" w:right="0"/>
            </w:pPr>
            <w:r>
              <w:rPr>
                <w:rStyle w:val="normaltextrun"/>
                <w:rFonts w:cs="Arial"/>
                <w:sz w:val="22"/>
                <w:szCs w:val="22"/>
              </w:rPr>
              <w:t>Mapplewell Primary</w:t>
            </w:r>
            <w:r>
              <w:rPr>
                <w:rStyle w:val="eop"/>
                <w:rFonts w:cs="Arial"/>
                <w:sz w:val="22"/>
                <w:szCs w:val="22"/>
              </w:rPr>
              <w:t> </w:t>
            </w:r>
          </w:p>
        </w:tc>
      </w:tr>
      <w:tr w:rsidR="00673FD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673FD3" w:rsidRDefault="00673FD3" w:rsidP="00673FD3">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46ECD2A" w:rsidR="00673FD3" w:rsidRDefault="00673FD3" w:rsidP="00673FD3">
            <w:pPr>
              <w:pStyle w:val="TableRow"/>
              <w:ind w:left="0" w:right="0"/>
            </w:pPr>
            <w:r>
              <w:rPr>
                <w:rStyle w:val="normaltextrun"/>
                <w:rFonts w:cs="Arial"/>
                <w:sz w:val="22"/>
                <w:szCs w:val="22"/>
              </w:rPr>
              <w:t>340</w:t>
            </w:r>
            <w:r>
              <w:rPr>
                <w:rStyle w:val="eop"/>
                <w:rFonts w:cs="Arial"/>
                <w:sz w:val="22"/>
                <w:szCs w:val="22"/>
              </w:rPr>
              <w:t> </w:t>
            </w:r>
          </w:p>
        </w:tc>
      </w:tr>
      <w:tr w:rsidR="00673FD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673FD3" w:rsidRDefault="00673FD3" w:rsidP="00673FD3">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1AFC9" w14:textId="77777777" w:rsidR="00673FD3" w:rsidRDefault="00673FD3" w:rsidP="00673FD3">
            <w:pPr>
              <w:pStyle w:val="paragraph"/>
              <w:spacing w:before="0" w:beforeAutospacing="0" w:after="0" w:afterAutospacing="0"/>
              <w:ind w:left="45" w:right="45"/>
              <w:textAlignment w:val="baseline"/>
              <w:divId w:val="1690334203"/>
              <w:rPr>
                <w:rFonts w:ascii="Segoe UI" w:hAnsi="Segoe UI" w:cs="Segoe UI"/>
                <w:color w:val="0D0D0D"/>
                <w:sz w:val="18"/>
                <w:szCs w:val="18"/>
              </w:rPr>
            </w:pPr>
            <w:r>
              <w:rPr>
                <w:rStyle w:val="normaltextrun"/>
                <w:rFonts w:ascii="Arial" w:hAnsi="Arial" w:cs="Arial"/>
                <w:color w:val="0D0D0D"/>
                <w:sz w:val="22"/>
                <w:szCs w:val="22"/>
              </w:rPr>
              <w:t>14% (51 pupils)</w:t>
            </w:r>
            <w:r>
              <w:rPr>
                <w:rStyle w:val="eop"/>
                <w:rFonts w:cs="Arial"/>
                <w:color w:val="0D0D0D"/>
                <w:sz w:val="22"/>
                <w:szCs w:val="22"/>
              </w:rPr>
              <w:t> </w:t>
            </w:r>
          </w:p>
          <w:p w14:paraId="6681583B" w14:textId="77777777" w:rsidR="00673FD3" w:rsidRDefault="00673FD3" w:rsidP="00673FD3">
            <w:pPr>
              <w:pStyle w:val="paragraph"/>
              <w:spacing w:before="0" w:beforeAutospacing="0" w:after="0" w:afterAutospacing="0"/>
              <w:ind w:left="45" w:right="45"/>
              <w:textAlignment w:val="baseline"/>
              <w:divId w:val="563300475"/>
              <w:rPr>
                <w:rFonts w:ascii="Segoe UI" w:hAnsi="Segoe UI" w:cs="Segoe UI"/>
                <w:color w:val="0D0D0D"/>
                <w:sz w:val="18"/>
                <w:szCs w:val="18"/>
              </w:rPr>
            </w:pPr>
            <w:r>
              <w:rPr>
                <w:rStyle w:val="normaltextrun"/>
                <w:rFonts w:ascii="Arial" w:hAnsi="Arial" w:cs="Arial"/>
                <w:i/>
                <w:iCs/>
                <w:color w:val="0D0D0D"/>
                <w:sz w:val="22"/>
                <w:szCs w:val="22"/>
              </w:rPr>
              <w:t>Deprivation 41</w:t>
            </w:r>
            <w:r>
              <w:rPr>
                <w:rStyle w:val="eop"/>
                <w:rFonts w:cs="Arial"/>
                <w:color w:val="0D0D0D"/>
                <w:sz w:val="22"/>
                <w:szCs w:val="22"/>
              </w:rPr>
              <w:t> </w:t>
            </w:r>
          </w:p>
          <w:p w14:paraId="0B22C1B4" w14:textId="77777777" w:rsidR="00673FD3" w:rsidRDefault="00673FD3" w:rsidP="00673FD3">
            <w:pPr>
              <w:pStyle w:val="paragraph"/>
              <w:spacing w:before="0" w:beforeAutospacing="0" w:after="0" w:afterAutospacing="0"/>
              <w:ind w:left="45" w:right="45"/>
              <w:textAlignment w:val="baseline"/>
              <w:divId w:val="1102840234"/>
              <w:rPr>
                <w:rFonts w:ascii="Segoe UI" w:hAnsi="Segoe UI" w:cs="Segoe UI"/>
                <w:color w:val="0D0D0D"/>
                <w:sz w:val="18"/>
                <w:szCs w:val="18"/>
              </w:rPr>
            </w:pPr>
            <w:r>
              <w:rPr>
                <w:rStyle w:val="normaltextrun"/>
                <w:rFonts w:ascii="Arial" w:hAnsi="Arial" w:cs="Arial"/>
                <w:i/>
                <w:iCs/>
                <w:color w:val="0D0D0D"/>
                <w:sz w:val="22"/>
                <w:szCs w:val="22"/>
              </w:rPr>
              <w:t>Service 3</w:t>
            </w:r>
            <w:r>
              <w:rPr>
                <w:rStyle w:val="eop"/>
                <w:rFonts w:cs="Arial"/>
                <w:color w:val="0D0D0D"/>
                <w:sz w:val="22"/>
                <w:szCs w:val="22"/>
              </w:rPr>
              <w:t> </w:t>
            </w:r>
          </w:p>
          <w:p w14:paraId="4F6DC9F1" w14:textId="77777777" w:rsidR="00673FD3" w:rsidRDefault="00673FD3" w:rsidP="00673FD3">
            <w:pPr>
              <w:pStyle w:val="paragraph"/>
              <w:spacing w:before="0" w:beforeAutospacing="0" w:after="0" w:afterAutospacing="0"/>
              <w:ind w:left="45" w:right="45"/>
              <w:textAlignment w:val="baseline"/>
              <w:divId w:val="1421636767"/>
              <w:rPr>
                <w:rFonts w:ascii="Segoe UI" w:hAnsi="Segoe UI" w:cs="Segoe UI"/>
                <w:color w:val="0D0D0D"/>
                <w:sz w:val="18"/>
                <w:szCs w:val="18"/>
              </w:rPr>
            </w:pPr>
            <w:r>
              <w:rPr>
                <w:rStyle w:val="normaltextrun"/>
                <w:rFonts w:ascii="Arial" w:hAnsi="Arial" w:cs="Arial"/>
                <w:i/>
                <w:iCs/>
                <w:color w:val="0D0D0D"/>
                <w:sz w:val="22"/>
                <w:szCs w:val="22"/>
              </w:rPr>
              <w:t>LAC 3</w:t>
            </w:r>
            <w:r>
              <w:rPr>
                <w:rStyle w:val="eop"/>
                <w:rFonts w:cs="Arial"/>
                <w:color w:val="0D0D0D"/>
                <w:sz w:val="22"/>
                <w:szCs w:val="22"/>
              </w:rPr>
              <w:t> </w:t>
            </w:r>
          </w:p>
          <w:p w14:paraId="2A7D54BF" w14:textId="41E8FB31" w:rsidR="00673FD3" w:rsidRDefault="00673FD3" w:rsidP="00673FD3">
            <w:pPr>
              <w:pStyle w:val="TableRow"/>
              <w:ind w:left="0" w:right="0"/>
            </w:pPr>
            <w:r>
              <w:rPr>
                <w:rStyle w:val="normaltextrun"/>
                <w:rFonts w:cs="Arial"/>
                <w:i/>
                <w:iCs/>
                <w:sz w:val="22"/>
                <w:szCs w:val="22"/>
              </w:rPr>
              <w:t>Adopted from care 4</w:t>
            </w:r>
            <w:r>
              <w:rPr>
                <w:rStyle w:val="eop"/>
                <w:rFonts w:cs="Arial"/>
                <w:sz w:val="22"/>
                <w:szCs w:val="22"/>
              </w:rPr>
              <w:t> </w:t>
            </w:r>
          </w:p>
        </w:tc>
      </w:tr>
      <w:tr w:rsidR="00673FD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673FD3" w:rsidRDefault="00673FD3" w:rsidP="00673FD3">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1F95C12" w:rsidR="00673FD3" w:rsidRDefault="00673FD3" w:rsidP="00673FD3">
            <w:pPr>
              <w:pStyle w:val="TableRow"/>
              <w:ind w:left="0" w:right="0"/>
            </w:pPr>
            <w:r>
              <w:rPr>
                <w:rStyle w:val="normaltextrun"/>
                <w:rFonts w:cs="Arial"/>
                <w:sz w:val="22"/>
                <w:szCs w:val="22"/>
              </w:rPr>
              <w:t>2025 - 2028</w:t>
            </w:r>
            <w:r>
              <w:rPr>
                <w:rStyle w:val="eop"/>
                <w:rFonts w:cs="Arial"/>
                <w:sz w:val="22"/>
                <w:szCs w:val="22"/>
              </w:rPr>
              <w:t> </w:t>
            </w:r>
          </w:p>
        </w:tc>
      </w:tr>
      <w:tr w:rsidR="00673FD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673FD3" w:rsidRDefault="00673FD3" w:rsidP="00673FD3">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DED23" w14:textId="77777777" w:rsidR="00673FD3" w:rsidRDefault="00673FD3" w:rsidP="00673FD3">
            <w:pPr>
              <w:pStyle w:val="paragraph"/>
              <w:spacing w:before="0" w:beforeAutospacing="0" w:after="0" w:afterAutospacing="0"/>
              <w:ind w:left="45" w:right="45"/>
              <w:textAlignment w:val="baseline"/>
              <w:divId w:val="1810124457"/>
              <w:rPr>
                <w:rFonts w:ascii="Segoe UI" w:hAnsi="Segoe UI" w:cs="Segoe UI"/>
                <w:color w:val="0D0D0D"/>
                <w:sz w:val="18"/>
                <w:szCs w:val="18"/>
              </w:rPr>
            </w:pPr>
            <w:r>
              <w:rPr>
                <w:rStyle w:val="normaltextrun"/>
                <w:rFonts w:ascii="Arial" w:hAnsi="Arial" w:cs="Arial"/>
                <w:color w:val="0D0D0D"/>
                <w:sz w:val="22"/>
                <w:szCs w:val="22"/>
              </w:rPr>
              <w:t>September 2025</w:t>
            </w:r>
            <w:r>
              <w:rPr>
                <w:rStyle w:val="eop"/>
                <w:rFonts w:cs="Arial"/>
                <w:color w:val="0D0D0D"/>
                <w:sz w:val="22"/>
                <w:szCs w:val="22"/>
              </w:rPr>
              <w:t> </w:t>
            </w:r>
          </w:p>
          <w:p w14:paraId="2A7D54C5" w14:textId="268F4650" w:rsidR="00673FD3" w:rsidRDefault="00673FD3" w:rsidP="00673FD3">
            <w:pPr>
              <w:pStyle w:val="TableRow"/>
              <w:ind w:left="0" w:right="0"/>
            </w:pPr>
            <w:r>
              <w:rPr>
                <w:rStyle w:val="eop"/>
                <w:rFonts w:cs="Arial"/>
                <w:color w:val="0070C0"/>
                <w:sz w:val="22"/>
                <w:szCs w:val="22"/>
              </w:rPr>
              <w:t> </w:t>
            </w:r>
          </w:p>
        </w:tc>
      </w:tr>
      <w:tr w:rsidR="00673FD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673FD3" w:rsidRDefault="00673FD3" w:rsidP="00673FD3">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9226F" w14:textId="77777777" w:rsidR="00673FD3" w:rsidRDefault="00673FD3" w:rsidP="00673FD3">
            <w:pPr>
              <w:pStyle w:val="paragraph"/>
              <w:spacing w:before="0" w:beforeAutospacing="0" w:after="0" w:afterAutospacing="0"/>
              <w:ind w:left="45" w:right="45"/>
              <w:textAlignment w:val="baseline"/>
              <w:divId w:val="128981892"/>
              <w:rPr>
                <w:rFonts w:ascii="Segoe UI" w:hAnsi="Segoe UI" w:cs="Segoe UI"/>
                <w:color w:val="0D0D0D"/>
                <w:sz w:val="18"/>
                <w:szCs w:val="18"/>
              </w:rPr>
            </w:pPr>
            <w:r>
              <w:rPr>
                <w:rStyle w:val="normaltextrun"/>
                <w:rFonts w:ascii="Arial" w:hAnsi="Arial" w:cs="Arial"/>
                <w:color w:val="0D0D0D"/>
                <w:sz w:val="22"/>
                <w:szCs w:val="22"/>
              </w:rPr>
              <w:t>July 2026</w:t>
            </w:r>
            <w:r>
              <w:rPr>
                <w:rStyle w:val="eop"/>
                <w:rFonts w:cs="Arial"/>
                <w:color w:val="0D0D0D"/>
                <w:sz w:val="22"/>
                <w:szCs w:val="22"/>
              </w:rPr>
              <w:t> </w:t>
            </w:r>
          </w:p>
          <w:p w14:paraId="64FADF14" w14:textId="77777777" w:rsidR="00673FD3" w:rsidRDefault="00673FD3" w:rsidP="00673FD3">
            <w:pPr>
              <w:pStyle w:val="paragraph"/>
              <w:spacing w:before="0" w:beforeAutospacing="0" w:after="0" w:afterAutospacing="0"/>
              <w:ind w:left="45" w:right="45"/>
              <w:textAlignment w:val="baseline"/>
              <w:divId w:val="457069396"/>
              <w:rPr>
                <w:rFonts w:ascii="Segoe UI" w:hAnsi="Segoe UI" w:cs="Segoe UI"/>
                <w:color w:val="0D0D0D"/>
                <w:sz w:val="18"/>
                <w:szCs w:val="18"/>
              </w:rPr>
            </w:pPr>
            <w:r>
              <w:rPr>
                <w:rStyle w:val="normaltextrun"/>
                <w:rFonts w:ascii="Arial" w:hAnsi="Arial" w:cs="Arial"/>
                <w:color w:val="00B050"/>
                <w:sz w:val="22"/>
                <w:szCs w:val="22"/>
              </w:rPr>
              <w:t>July 2027</w:t>
            </w:r>
            <w:r>
              <w:rPr>
                <w:rStyle w:val="eop"/>
                <w:rFonts w:cs="Arial"/>
                <w:color w:val="00B050"/>
                <w:sz w:val="22"/>
                <w:szCs w:val="22"/>
              </w:rPr>
              <w:t> </w:t>
            </w:r>
          </w:p>
          <w:p w14:paraId="2A7D54C8" w14:textId="074CEB8B" w:rsidR="00673FD3" w:rsidRDefault="00673FD3" w:rsidP="00673FD3">
            <w:pPr>
              <w:pStyle w:val="TableRow"/>
              <w:ind w:left="0" w:right="0"/>
            </w:pPr>
            <w:r>
              <w:rPr>
                <w:rStyle w:val="normaltextrun"/>
                <w:rFonts w:cs="Arial"/>
                <w:color w:val="0070C0"/>
                <w:sz w:val="22"/>
                <w:szCs w:val="22"/>
              </w:rPr>
              <w:t>July 2028</w:t>
            </w:r>
            <w:r>
              <w:rPr>
                <w:rStyle w:val="eop"/>
                <w:rFonts w:cs="Arial"/>
                <w:color w:val="0070C0"/>
                <w:sz w:val="22"/>
                <w:szCs w:val="22"/>
              </w:rPr>
              <w:t> </w:t>
            </w:r>
          </w:p>
        </w:tc>
      </w:tr>
      <w:tr w:rsidR="00673FD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673FD3" w:rsidRDefault="00673FD3" w:rsidP="00673FD3">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CF4EED7" w:rsidR="00673FD3" w:rsidRDefault="00673FD3" w:rsidP="00673FD3">
            <w:pPr>
              <w:pStyle w:val="TableRow"/>
              <w:ind w:left="0" w:right="0"/>
            </w:pPr>
            <w:r>
              <w:rPr>
                <w:rStyle w:val="normaltextrun"/>
                <w:rFonts w:cs="Arial"/>
                <w:sz w:val="22"/>
                <w:szCs w:val="22"/>
              </w:rPr>
              <w:t>Gail Padfield</w:t>
            </w:r>
            <w:r>
              <w:rPr>
                <w:rStyle w:val="eop"/>
                <w:rFonts w:cs="Arial"/>
                <w:sz w:val="22"/>
                <w:szCs w:val="22"/>
              </w:rPr>
              <w:t> </w:t>
            </w:r>
          </w:p>
        </w:tc>
      </w:tr>
      <w:tr w:rsidR="00673FD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673FD3" w:rsidRDefault="00673FD3" w:rsidP="00673FD3">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B7B828D" w:rsidR="00673FD3" w:rsidRDefault="00673FD3" w:rsidP="00673FD3">
            <w:pPr>
              <w:pStyle w:val="TableRow"/>
              <w:ind w:left="0" w:right="0"/>
            </w:pPr>
            <w:r>
              <w:rPr>
                <w:rStyle w:val="normaltextrun"/>
                <w:rFonts w:cs="Arial"/>
                <w:color w:val="0070C0"/>
                <w:sz w:val="22"/>
                <w:szCs w:val="22"/>
              </w:rPr>
              <w:t>Sam Garrood</w:t>
            </w:r>
            <w:r>
              <w:rPr>
                <w:rStyle w:val="eop"/>
                <w:rFonts w:cs="Arial"/>
                <w:color w:val="0070C0"/>
                <w:sz w:val="22"/>
                <w:szCs w:val="22"/>
              </w:rPr>
              <w:t>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E640740" w:rsidR="00E66558" w:rsidRDefault="009D71E8" w:rsidP="00C31636">
            <w:pPr>
              <w:pStyle w:val="TableRow"/>
              <w:ind w:left="0" w:right="0"/>
            </w:pPr>
            <w:r>
              <w:t>£</w:t>
            </w:r>
            <w:r w:rsidR="00673FD3">
              <w:t>69,020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7D1611B0" w:rsidR="00E66558" w:rsidRDefault="009D71E8" w:rsidP="00C31636">
            <w:pPr>
              <w:pStyle w:val="TableRow"/>
              <w:ind w:left="0" w:right="0"/>
            </w:pPr>
            <w:r>
              <w:t>£</w:t>
            </w:r>
            <w:r w:rsidR="00D70FAC">
              <w:t xml:space="preserve"> 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44C49F1" w:rsidR="00E66558" w:rsidRDefault="009D71E8" w:rsidP="00C31636">
            <w:pPr>
              <w:pStyle w:val="TableRow"/>
              <w:ind w:left="0" w:right="0"/>
            </w:pPr>
            <w:r>
              <w:t>£</w:t>
            </w:r>
            <w:r w:rsidR="00673FD3">
              <w:t>69,020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3DE21" w14:textId="77777777" w:rsidR="0081240B" w:rsidRPr="0081240B" w:rsidRDefault="0081240B" w:rsidP="0081240B">
            <w:pPr>
              <w:rPr>
                <w:sz w:val="22"/>
                <w:szCs w:val="22"/>
              </w:rPr>
            </w:pPr>
            <w:r w:rsidRPr="0081240B">
              <w:rPr>
                <w:sz w:val="22"/>
                <w:szCs w:val="22"/>
              </w:rPr>
              <w:t>At Mapplewell Primary School, we are committed to ensuring that every pupil, regardless of their background or individual challenges, is given the best possible chance to achieve their full potential. We recognise that high-quality teaching, targeted support, curriculum enrichment, and pastoral care are essential to closing the attainment gap between disadvantaged pupils and their peers.</w:t>
            </w:r>
          </w:p>
          <w:p w14:paraId="05AD6F82" w14:textId="77777777" w:rsidR="0081240B" w:rsidRPr="0081240B" w:rsidRDefault="0081240B" w:rsidP="0081240B">
            <w:pPr>
              <w:rPr>
                <w:sz w:val="22"/>
                <w:szCs w:val="22"/>
              </w:rPr>
            </w:pPr>
            <w:r w:rsidRPr="0081240B">
              <w:rPr>
                <w:sz w:val="22"/>
                <w:szCs w:val="22"/>
              </w:rPr>
              <w:t>Our Pupil Premium strategy is built on a whole-school approach underpinned by high expectations and evidence-informed practises that benefit all pupils, while providing focused, timely interventions where they are needed most. We believe that all pupils, including those from disadvantaged backgrounds, should have equal access to a broad, ambitious curriculum that enables them to succeed.</w:t>
            </w:r>
          </w:p>
          <w:p w14:paraId="699B87B2" w14:textId="77777777" w:rsidR="0081240B" w:rsidRPr="0081240B" w:rsidRDefault="0081240B" w:rsidP="0081240B">
            <w:pPr>
              <w:rPr>
                <w:sz w:val="22"/>
                <w:szCs w:val="22"/>
              </w:rPr>
            </w:pPr>
            <w:r w:rsidRPr="0081240B">
              <w:rPr>
                <w:sz w:val="22"/>
                <w:szCs w:val="22"/>
              </w:rPr>
              <w:t>Our key aims through the Pupil Premium strategy are to:</w:t>
            </w:r>
          </w:p>
          <w:p w14:paraId="0EB19DB8" w14:textId="77777777" w:rsidR="0081240B" w:rsidRPr="0081240B" w:rsidRDefault="0081240B" w:rsidP="0081240B">
            <w:pPr>
              <w:numPr>
                <w:ilvl w:val="0"/>
                <w:numId w:val="21"/>
              </w:numPr>
              <w:rPr>
                <w:sz w:val="22"/>
                <w:szCs w:val="22"/>
              </w:rPr>
            </w:pPr>
            <w:r w:rsidRPr="0081240B">
              <w:rPr>
                <w:sz w:val="22"/>
                <w:szCs w:val="22"/>
              </w:rPr>
              <w:t>Improve the academic attainment and progress of disadvantaged pupils, ensuring they are well-prepared for the next stages of their education.</w:t>
            </w:r>
          </w:p>
          <w:p w14:paraId="4EFC5E74" w14:textId="77777777" w:rsidR="0081240B" w:rsidRPr="0081240B" w:rsidRDefault="0081240B" w:rsidP="0081240B">
            <w:pPr>
              <w:numPr>
                <w:ilvl w:val="0"/>
                <w:numId w:val="21"/>
              </w:numPr>
              <w:rPr>
                <w:sz w:val="22"/>
                <w:szCs w:val="22"/>
              </w:rPr>
            </w:pPr>
            <w:r w:rsidRPr="0081240B">
              <w:rPr>
                <w:sz w:val="22"/>
                <w:szCs w:val="22"/>
              </w:rPr>
              <w:t>Provide responsive, tailored support addressing individual needs across literacy, numeracy, behaviour, and wellbeing.</w:t>
            </w:r>
          </w:p>
          <w:p w14:paraId="42C07456" w14:textId="77777777" w:rsidR="0081240B" w:rsidRPr="0081240B" w:rsidRDefault="0081240B" w:rsidP="0081240B">
            <w:pPr>
              <w:numPr>
                <w:ilvl w:val="0"/>
                <w:numId w:val="21"/>
              </w:numPr>
              <w:rPr>
                <w:sz w:val="22"/>
                <w:szCs w:val="22"/>
              </w:rPr>
            </w:pPr>
            <w:r w:rsidRPr="0081240B">
              <w:rPr>
                <w:sz w:val="22"/>
                <w:szCs w:val="22"/>
              </w:rPr>
              <w:t>Enhance pupils’ wider school experience by offering high-quality enrichment opportunities and developing cultural capital.</w:t>
            </w:r>
          </w:p>
          <w:p w14:paraId="6C3BEC2B" w14:textId="77777777" w:rsidR="0081240B" w:rsidRPr="0081240B" w:rsidRDefault="0081240B" w:rsidP="0081240B">
            <w:pPr>
              <w:numPr>
                <w:ilvl w:val="0"/>
                <w:numId w:val="21"/>
              </w:numPr>
              <w:rPr>
                <w:sz w:val="22"/>
                <w:szCs w:val="22"/>
              </w:rPr>
            </w:pPr>
            <w:r w:rsidRPr="0081240B">
              <w:rPr>
                <w:sz w:val="22"/>
                <w:szCs w:val="22"/>
              </w:rPr>
              <w:t>Empower staff through high-quality professional development to identify and support disadvantaged pupils effectively.</w:t>
            </w:r>
          </w:p>
          <w:p w14:paraId="51E02129" w14:textId="77777777" w:rsidR="0081240B" w:rsidRPr="0081240B" w:rsidRDefault="0081240B" w:rsidP="0081240B">
            <w:pPr>
              <w:numPr>
                <w:ilvl w:val="0"/>
                <w:numId w:val="21"/>
              </w:numPr>
              <w:rPr>
                <w:sz w:val="22"/>
                <w:szCs w:val="22"/>
              </w:rPr>
            </w:pPr>
            <w:r w:rsidRPr="0081240B">
              <w:rPr>
                <w:sz w:val="22"/>
                <w:szCs w:val="22"/>
              </w:rPr>
              <w:t>Engage families and the wider community as partners in supporting pupils’ learning and development.</w:t>
            </w:r>
          </w:p>
          <w:p w14:paraId="1E64FF2F" w14:textId="77777777" w:rsidR="0081240B" w:rsidRPr="0081240B" w:rsidRDefault="0081240B" w:rsidP="0081240B">
            <w:pPr>
              <w:rPr>
                <w:sz w:val="22"/>
                <w:szCs w:val="22"/>
              </w:rPr>
            </w:pPr>
            <w:r w:rsidRPr="0081240B">
              <w:rPr>
                <w:sz w:val="22"/>
                <w:szCs w:val="22"/>
              </w:rPr>
              <w:t>Our approach is informed by rigorous analysis of internal and external data, ensuring that our actions are targeted, impactful, and regularly reviewed. We follow a clear, strategic, tiered model of provision aligned with EEF guidance:</w:t>
            </w:r>
          </w:p>
          <w:p w14:paraId="239E6706" w14:textId="77777777" w:rsidR="0081240B" w:rsidRPr="0081240B" w:rsidRDefault="0081240B" w:rsidP="0081240B">
            <w:pPr>
              <w:numPr>
                <w:ilvl w:val="0"/>
                <w:numId w:val="22"/>
              </w:numPr>
              <w:rPr>
                <w:sz w:val="22"/>
                <w:szCs w:val="22"/>
              </w:rPr>
            </w:pPr>
            <w:r w:rsidRPr="0081240B">
              <w:rPr>
                <w:sz w:val="22"/>
                <w:szCs w:val="22"/>
              </w:rPr>
              <w:t>Whole-school strategies that promote positive outcomes for all pupils.</w:t>
            </w:r>
          </w:p>
          <w:p w14:paraId="0EE30675" w14:textId="77777777" w:rsidR="0081240B" w:rsidRPr="0081240B" w:rsidRDefault="0081240B" w:rsidP="0081240B">
            <w:pPr>
              <w:numPr>
                <w:ilvl w:val="0"/>
                <w:numId w:val="22"/>
              </w:numPr>
              <w:rPr>
                <w:sz w:val="22"/>
                <w:szCs w:val="22"/>
              </w:rPr>
            </w:pPr>
            <w:r w:rsidRPr="0081240B">
              <w:rPr>
                <w:sz w:val="22"/>
                <w:szCs w:val="22"/>
              </w:rPr>
              <w:t>Focused support targeting underperformance.</w:t>
            </w:r>
          </w:p>
          <w:p w14:paraId="367B6F9A" w14:textId="77777777" w:rsidR="0081240B" w:rsidRPr="0081240B" w:rsidRDefault="0081240B" w:rsidP="0081240B">
            <w:pPr>
              <w:numPr>
                <w:ilvl w:val="0"/>
                <w:numId w:val="22"/>
              </w:numPr>
              <w:rPr>
                <w:sz w:val="22"/>
                <w:szCs w:val="22"/>
              </w:rPr>
            </w:pPr>
            <w:r w:rsidRPr="0081240B">
              <w:rPr>
                <w:sz w:val="22"/>
                <w:szCs w:val="22"/>
              </w:rPr>
              <w:t>Specific interventions designed to meet the unique needs of disadvantaged pupils.</w:t>
            </w:r>
          </w:p>
          <w:p w14:paraId="2A7D54E9" w14:textId="1F18E447" w:rsidR="006911EA" w:rsidRPr="009B07E2" w:rsidRDefault="0081240B" w:rsidP="006911EA">
            <w:r w:rsidRPr="0081240B">
              <w:rPr>
                <w:sz w:val="22"/>
                <w:szCs w:val="22"/>
              </w:rPr>
              <w:t>We are dedicated to using Pupil Premium funding effectively to improve attainment, attendance, and wellbeing, ensuring that every child at Mapplewell Primary School leaves equipped with the knowledge, skills, and confidence to thrive, regardless of their starting point.</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6C2EE" w14:textId="1F75AE71" w:rsidR="00E66558" w:rsidRPr="00D30CE3" w:rsidRDefault="006C196D" w:rsidP="00C31636">
            <w:pPr>
              <w:pStyle w:val="TableRowCentered"/>
              <w:ind w:left="0" w:right="0"/>
              <w:jc w:val="left"/>
              <w:rPr>
                <w:sz w:val="22"/>
                <w:szCs w:val="22"/>
              </w:rPr>
            </w:pPr>
            <w:r w:rsidRPr="00D30CE3">
              <w:rPr>
                <w:sz w:val="22"/>
                <w:szCs w:val="22"/>
              </w:rPr>
              <w:t xml:space="preserve">On entry assessment to Early </w:t>
            </w:r>
            <w:r w:rsidR="007C22AE" w:rsidRPr="00D30CE3">
              <w:rPr>
                <w:sz w:val="22"/>
                <w:szCs w:val="22"/>
              </w:rPr>
              <w:t>Y</w:t>
            </w:r>
            <w:r w:rsidRPr="00D30CE3">
              <w:rPr>
                <w:sz w:val="22"/>
                <w:szCs w:val="22"/>
              </w:rPr>
              <w:t xml:space="preserve">ears indicate underdeveloped oral language skills and vocabulary gaps </w:t>
            </w:r>
            <w:r w:rsidR="007C22AE" w:rsidRPr="00D30CE3">
              <w:rPr>
                <w:sz w:val="22"/>
                <w:szCs w:val="22"/>
              </w:rPr>
              <w:t>in</w:t>
            </w:r>
            <w:r w:rsidRPr="00D30CE3">
              <w:rPr>
                <w:sz w:val="22"/>
                <w:szCs w:val="22"/>
              </w:rPr>
              <w:t xml:space="preserve"> many disadvantage</w:t>
            </w:r>
            <w:r w:rsidR="007C22AE" w:rsidRPr="00D30CE3">
              <w:rPr>
                <w:sz w:val="22"/>
                <w:szCs w:val="22"/>
              </w:rPr>
              <w:t xml:space="preserve">d </w:t>
            </w:r>
            <w:r w:rsidRPr="00D30CE3">
              <w:rPr>
                <w:sz w:val="22"/>
                <w:szCs w:val="22"/>
              </w:rPr>
              <w:t xml:space="preserve">pupils. </w:t>
            </w:r>
          </w:p>
          <w:p w14:paraId="3BCE65B6" w14:textId="77777777" w:rsidR="006C196D" w:rsidRPr="00D30CE3" w:rsidRDefault="006C196D" w:rsidP="00C31636">
            <w:pPr>
              <w:pStyle w:val="TableRowCentered"/>
              <w:ind w:left="0" w:right="0"/>
              <w:jc w:val="left"/>
              <w:rPr>
                <w:sz w:val="22"/>
                <w:szCs w:val="22"/>
              </w:rPr>
            </w:pPr>
          </w:p>
          <w:p w14:paraId="7CFD333A" w14:textId="77777777" w:rsidR="006C196D" w:rsidRPr="00D30CE3" w:rsidRDefault="00872C0C" w:rsidP="00C31636">
            <w:pPr>
              <w:pStyle w:val="TableRowCentered"/>
              <w:ind w:left="0" w:right="0"/>
              <w:jc w:val="left"/>
              <w:rPr>
                <w:color w:val="1F497D" w:themeColor="text2"/>
                <w:sz w:val="22"/>
                <w:szCs w:val="22"/>
              </w:rPr>
            </w:pPr>
            <w:r w:rsidRPr="00D30CE3">
              <w:rPr>
                <w:color w:val="1F497D" w:themeColor="text2"/>
                <w:sz w:val="22"/>
                <w:szCs w:val="22"/>
              </w:rPr>
              <w:t>At baseline</w:t>
            </w:r>
            <w:r w:rsidR="007F41A9" w:rsidRPr="00D30CE3">
              <w:rPr>
                <w:color w:val="1F497D" w:themeColor="text2"/>
                <w:sz w:val="22"/>
                <w:szCs w:val="22"/>
              </w:rPr>
              <w:t xml:space="preserve"> in September 2025,</w:t>
            </w:r>
            <w:r w:rsidR="006C196D" w:rsidRPr="00D30CE3">
              <w:rPr>
                <w:color w:val="1F497D" w:themeColor="text2"/>
                <w:sz w:val="22"/>
                <w:szCs w:val="22"/>
              </w:rPr>
              <w:t xml:space="preserve"> FS</w:t>
            </w:r>
            <w:r w:rsidRPr="00D30CE3">
              <w:rPr>
                <w:color w:val="1F497D" w:themeColor="text2"/>
                <w:sz w:val="22"/>
                <w:szCs w:val="22"/>
              </w:rPr>
              <w:t>2</w:t>
            </w:r>
            <w:r w:rsidR="006C196D" w:rsidRPr="00D30CE3">
              <w:rPr>
                <w:color w:val="1F497D" w:themeColor="text2"/>
                <w:sz w:val="22"/>
                <w:szCs w:val="22"/>
              </w:rPr>
              <w:t xml:space="preserve"> </w:t>
            </w:r>
            <w:r w:rsidRPr="00D30CE3">
              <w:rPr>
                <w:color w:val="1F497D" w:themeColor="text2"/>
                <w:sz w:val="22"/>
                <w:szCs w:val="22"/>
              </w:rPr>
              <w:t xml:space="preserve">disadvantaged pupils </w:t>
            </w:r>
            <w:r w:rsidR="007F41A9" w:rsidRPr="00D30CE3">
              <w:rPr>
                <w:color w:val="1F497D" w:themeColor="text2"/>
                <w:sz w:val="22"/>
                <w:szCs w:val="22"/>
              </w:rPr>
              <w:t>were assessed at 50% to be on track for age related expectations for Speaking.</w:t>
            </w:r>
          </w:p>
          <w:p w14:paraId="222D54A1" w14:textId="77777777" w:rsidR="007F41A9" w:rsidRPr="00D30CE3" w:rsidRDefault="007F41A9" w:rsidP="00C31636">
            <w:pPr>
              <w:pStyle w:val="TableRowCentered"/>
              <w:ind w:left="0" w:right="0"/>
              <w:jc w:val="left"/>
              <w:rPr>
                <w:color w:val="1F497D" w:themeColor="text2"/>
                <w:sz w:val="22"/>
                <w:szCs w:val="22"/>
              </w:rPr>
            </w:pPr>
            <w:r w:rsidRPr="00D30CE3">
              <w:rPr>
                <w:color w:val="1F497D" w:themeColor="text2"/>
                <w:sz w:val="22"/>
                <w:szCs w:val="22"/>
              </w:rPr>
              <w:t>Non – Disadvantaged were assessed at 66% for Speaking.</w:t>
            </w:r>
          </w:p>
          <w:p w14:paraId="688AC45F" w14:textId="77777777" w:rsidR="007F41A9" w:rsidRPr="00D30CE3" w:rsidRDefault="007F41A9" w:rsidP="00C31636">
            <w:pPr>
              <w:pStyle w:val="TableRowCentered"/>
              <w:ind w:left="0" w:right="0"/>
              <w:jc w:val="left"/>
              <w:rPr>
                <w:color w:val="1F497D" w:themeColor="text2"/>
                <w:sz w:val="22"/>
                <w:szCs w:val="22"/>
              </w:rPr>
            </w:pPr>
          </w:p>
          <w:p w14:paraId="01C25229" w14:textId="77777777" w:rsidR="007F41A9" w:rsidRPr="00D30CE3" w:rsidRDefault="007F41A9" w:rsidP="00C31636">
            <w:pPr>
              <w:pStyle w:val="TableRowCentered"/>
              <w:ind w:left="0" w:right="0"/>
              <w:jc w:val="left"/>
              <w:rPr>
                <w:color w:val="000000" w:themeColor="text1"/>
                <w:sz w:val="22"/>
                <w:szCs w:val="22"/>
              </w:rPr>
            </w:pPr>
            <w:r w:rsidRPr="00D30CE3">
              <w:rPr>
                <w:color w:val="000000" w:themeColor="text1"/>
                <w:sz w:val="22"/>
                <w:szCs w:val="22"/>
              </w:rPr>
              <w:t>Assessment indicates a greater need among this group to build a rich, broad vocabulary and deepen their comprehension of new language, which is vital for maximising their outcomes in reading, writing and overall communication throughout school.</w:t>
            </w:r>
          </w:p>
          <w:p w14:paraId="4470500D" w14:textId="77777777" w:rsidR="00BE00CE" w:rsidRPr="00D30CE3" w:rsidRDefault="00BE00CE" w:rsidP="00C31636">
            <w:pPr>
              <w:pStyle w:val="TableRowCentered"/>
              <w:ind w:left="0" w:right="0"/>
              <w:jc w:val="left"/>
              <w:rPr>
                <w:color w:val="000000" w:themeColor="text1"/>
                <w:sz w:val="22"/>
                <w:szCs w:val="22"/>
              </w:rPr>
            </w:pPr>
          </w:p>
          <w:p w14:paraId="32F19FA4" w14:textId="64E785E1" w:rsidR="00D30CE3" w:rsidRPr="00D30CE3" w:rsidRDefault="00BE00CE" w:rsidP="00C31636">
            <w:pPr>
              <w:pStyle w:val="TableRowCentered"/>
              <w:ind w:left="0" w:right="0"/>
              <w:jc w:val="left"/>
              <w:rPr>
                <w:color w:val="000000" w:themeColor="text1"/>
                <w:sz w:val="22"/>
                <w:szCs w:val="22"/>
              </w:rPr>
            </w:pPr>
            <w:r w:rsidRPr="00D30CE3">
              <w:rPr>
                <w:color w:val="000000" w:themeColor="text1"/>
                <w:sz w:val="22"/>
                <w:szCs w:val="22"/>
              </w:rPr>
              <w:t xml:space="preserve">Disadvantaged pupils do not attain in line with Non – </w:t>
            </w:r>
            <w:r w:rsidR="00D30CE3" w:rsidRPr="00D30CE3">
              <w:rPr>
                <w:color w:val="000000" w:themeColor="text1"/>
                <w:sz w:val="22"/>
                <w:szCs w:val="22"/>
              </w:rPr>
              <w:t>Disadvantaged</w:t>
            </w:r>
            <w:r w:rsidRPr="00D30CE3">
              <w:rPr>
                <w:color w:val="000000" w:themeColor="text1"/>
                <w:sz w:val="22"/>
                <w:szCs w:val="22"/>
              </w:rPr>
              <w:t xml:space="preserve"> pupils to reach GLD</w:t>
            </w:r>
            <w:r w:rsidR="00D30CE3" w:rsidRPr="00D30CE3">
              <w:rPr>
                <w:color w:val="000000" w:themeColor="text1"/>
                <w:sz w:val="22"/>
                <w:szCs w:val="22"/>
              </w:rPr>
              <w:t xml:space="preserve"> by the end </w:t>
            </w:r>
            <w:r w:rsidR="00D30CE3">
              <w:rPr>
                <w:color w:val="000000" w:themeColor="text1"/>
                <w:sz w:val="22"/>
                <w:szCs w:val="22"/>
              </w:rPr>
              <w:t>o</w:t>
            </w:r>
            <w:r w:rsidR="00D30CE3" w:rsidRPr="00D30CE3">
              <w:rPr>
                <w:color w:val="000000" w:themeColor="text1"/>
                <w:sz w:val="22"/>
                <w:szCs w:val="22"/>
              </w:rPr>
              <w:t>f EYFS.</w:t>
            </w:r>
          </w:p>
          <w:p w14:paraId="76146781" w14:textId="09F09B43" w:rsidR="00D30CE3" w:rsidRPr="00D30CE3" w:rsidRDefault="00D30CE3" w:rsidP="00C31636">
            <w:pPr>
              <w:pStyle w:val="TableRowCentered"/>
              <w:ind w:left="0" w:right="0"/>
              <w:jc w:val="left"/>
              <w:rPr>
                <w:color w:val="1F497D" w:themeColor="text2"/>
                <w:sz w:val="22"/>
                <w:szCs w:val="22"/>
              </w:rPr>
            </w:pPr>
            <w:r w:rsidRPr="00D30CE3">
              <w:rPr>
                <w:color w:val="1F497D" w:themeColor="text2"/>
                <w:sz w:val="22"/>
                <w:szCs w:val="22"/>
              </w:rPr>
              <w:t>Disadvantaged GLD for 2024/2025: 50%</w:t>
            </w:r>
          </w:p>
          <w:p w14:paraId="2A7D54F1" w14:textId="5B23219F" w:rsidR="00BE00CE" w:rsidRPr="006C196D" w:rsidRDefault="00D30CE3" w:rsidP="00C31636">
            <w:pPr>
              <w:pStyle w:val="TableRowCentered"/>
              <w:ind w:left="0" w:right="0"/>
              <w:jc w:val="left"/>
            </w:pPr>
            <w:r w:rsidRPr="00D30CE3">
              <w:rPr>
                <w:color w:val="1F497D" w:themeColor="text2"/>
                <w:sz w:val="22"/>
                <w:szCs w:val="22"/>
              </w:rPr>
              <w:t>Non – Disadvantaged GLD for 2024/2025: 67%</w:t>
            </w:r>
            <w:r w:rsidR="00BE00CE" w:rsidRPr="00D30CE3">
              <w:rPr>
                <w:color w:val="1F497D" w:themeColor="text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A4B8" w14:textId="5281CF1E" w:rsidR="00276BE9" w:rsidRPr="00E1555C" w:rsidRDefault="008232FE" w:rsidP="00E1555C">
            <w:pPr>
              <w:pStyle w:val="TableRowCentered"/>
              <w:ind w:right="0"/>
              <w:jc w:val="left"/>
              <w:rPr>
                <w:sz w:val="22"/>
                <w:szCs w:val="22"/>
              </w:rPr>
            </w:pPr>
            <w:r w:rsidRPr="008232FE">
              <w:rPr>
                <w:sz w:val="22"/>
                <w:szCs w:val="22"/>
              </w:rPr>
              <w:t xml:space="preserve">Identification that on average disadvantaged pupils do not achieve as well as their peers </w:t>
            </w:r>
            <w:r w:rsidR="00E1555C">
              <w:rPr>
                <w:sz w:val="22"/>
                <w:szCs w:val="22"/>
              </w:rPr>
              <w:t>in KS2 writing outcomes.</w:t>
            </w:r>
          </w:p>
          <w:p w14:paraId="1491E8D3" w14:textId="3D964962" w:rsidR="00E1555C" w:rsidRDefault="00E1555C" w:rsidP="00E1555C">
            <w:pPr>
              <w:pStyle w:val="TableRowCentered"/>
              <w:ind w:left="0" w:right="0"/>
              <w:jc w:val="left"/>
              <w:rPr>
                <w:b/>
                <w:bCs/>
                <w:i/>
                <w:iCs/>
                <w:sz w:val="22"/>
                <w:szCs w:val="22"/>
              </w:rPr>
            </w:pPr>
            <w:r w:rsidRPr="00E1555C">
              <w:rPr>
                <w:b/>
                <w:bCs/>
                <w:i/>
                <w:iCs/>
                <w:noProof/>
                <w:sz w:val="22"/>
                <w:szCs w:val="22"/>
              </w:rPr>
              <w:drawing>
                <wp:inline distT="0" distB="0" distL="0" distR="0" wp14:anchorId="6E2A7F68" wp14:editId="2CF1DE06">
                  <wp:extent cx="2591735" cy="1235824"/>
                  <wp:effectExtent l="0" t="0" r="0" b="2540"/>
                  <wp:docPr id="448736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36312" name=""/>
                          <pic:cNvPicPr/>
                        </pic:nvPicPr>
                        <pic:blipFill>
                          <a:blip r:embed="rId10"/>
                          <a:stretch>
                            <a:fillRect/>
                          </a:stretch>
                        </pic:blipFill>
                        <pic:spPr>
                          <a:xfrm>
                            <a:off x="0" y="0"/>
                            <a:ext cx="2641680" cy="1259639"/>
                          </a:xfrm>
                          <a:prstGeom prst="rect">
                            <a:avLst/>
                          </a:prstGeom>
                        </pic:spPr>
                      </pic:pic>
                    </a:graphicData>
                  </a:graphic>
                </wp:inline>
              </w:drawing>
            </w:r>
          </w:p>
          <w:p w14:paraId="04FDD7DD" w14:textId="350F0C68" w:rsidR="00E1555C" w:rsidRDefault="00E1555C" w:rsidP="00E1555C">
            <w:pPr>
              <w:pStyle w:val="TableRowCentered"/>
              <w:ind w:left="0" w:right="0"/>
              <w:jc w:val="left"/>
              <w:rPr>
                <w:b/>
                <w:bCs/>
                <w:i/>
                <w:iCs/>
                <w:sz w:val="22"/>
                <w:szCs w:val="22"/>
              </w:rPr>
            </w:pPr>
            <w:r w:rsidRPr="00E1555C">
              <w:rPr>
                <w:b/>
                <w:bCs/>
                <w:i/>
                <w:iCs/>
                <w:noProof/>
                <w:sz w:val="22"/>
                <w:szCs w:val="22"/>
              </w:rPr>
              <w:drawing>
                <wp:inline distT="0" distB="0" distL="0" distR="0" wp14:anchorId="1D5BB299" wp14:editId="6E837C6D">
                  <wp:extent cx="2241550" cy="1567461"/>
                  <wp:effectExtent l="0" t="0" r="6350" b="0"/>
                  <wp:docPr id="1472362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62791" name=""/>
                          <pic:cNvPicPr/>
                        </pic:nvPicPr>
                        <pic:blipFill>
                          <a:blip r:embed="rId11"/>
                          <a:stretch>
                            <a:fillRect/>
                          </a:stretch>
                        </pic:blipFill>
                        <pic:spPr>
                          <a:xfrm>
                            <a:off x="0" y="0"/>
                            <a:ext cx="2257870" cy="1578873"/>
                          </a:xfrm>
                          <a:prstGeom prst="rect">
                            <a:avLst/>
                          </a:prstGeom>
                        </pic:spPr>
                      </pic:pic>
                    </a:graphicData>
                  </a:graphic>
                </wp:inline>
              </w:drawing>
            </w:r>
          </w:p>
          <w:p w14:paraId="7642A085" w14:textId="77777777" w:rsidR="00E1555C" w:rsidRDefault="00E1555C" w:rsidP="00E1555C">
            <w:pPr>
              <w:pStyle w:val="TableRowCentered"/>
              <w:ind w:left="0" w:right="0"/>
              <w:jc w:val="left"/>
              <w:rPr>
                <w:b/>
                <w:bCs/>
                <w:i/>
                <w:iCs/>
                <w:sz w:val="22"/>
                <w:szCs w:val="22"/>
              </w:rPr>
            </w:pPr>
          </w:p>
          <w:p w14:paraId="42FAA027" w14:textId="7BE9B0C5" w:rsidR="00E1555C" w:rsidRDefault="00E1555C" w:rsidP="00E1555C">
            <w:pPr>
              <w:pStyle w:val="TableRowCentered"/>
              <w:ind w:left="0" w:right="0"/>
              <w:jc w:val="left"/>
              <w:rPr>
                <w:sz w:val="22"/>
                <w:szCs w:val="22"/>
              </w:rPr>
            </w:pPr>
            <w:r w:rsidRPr="00E1555C">
              <w:rPr>
                <w:sz w:val="22"/>
                <w:szCs w:val="22"/>
              </w:rPr>
              <w:t xml:space="preserve">This Data highlights a significant opportunity to close the attainment gap </w:t>
            </w:r>
            <w:r>
              <w:rPr>
                <w:sz w:val="22"/>
                <w:szCs w:val="22"/>
              </w:rPr>
              <w:t>for our disadvantaged pupils in KS2 writing outcomes. Data analysis shows a general trend that disadvantaged pupils at Mapplewell achieve above the national average, but do not achieve as well as Non – disadvantaged pupils.</w:t>
            </w:r>
          </w:p>
          <w:p w14:paraId="2A7D54F4" w14:textId="6056ECA8" w:rsidR="00E1555C" w:rsidRDefault="00E1555C" w:rsidP="00E1555C">
            <w:pPr>
              <w:pStyle w:val="TableRowCentered"/>
              <w:ind w:left="0" w:right="0"/>
              <w:jc w:val="left"/>
              <w:rPr>
                <w:sz w:val="22"/>
                <w:szCs w:val="22"/>
              </w:rPr>
            </w:pPr>
            <w:r>
              <w:rPr>
                <w:sz w:val="22"/>
                <w:szCs w:val="22"/>
              </w:rPr>
              <w:t>Data analysis also identifies the gap</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4C2585D8" w:rsidR="00E66558" w:rsidRDefault="00530F42"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29BBB" w14:textId="594AE2CD" w:rsidR="006C196D" w:rsidRDefault="006C196D" w:rsidP="00C31636">
            <w:pPr>
              <w:pStyle w:val="TableRowCentered"/>
              <w:ind w:left="0" w:right="0"/>
              <w:jc w:val="left"/>
              <w:rPr>
                <w:sz w:val="22"/>
                <w:szCs w:val="22"/>
              </w:rPr>
            </w:pPr>
            <w:r w:rsidRPr="006C196D">
              <w:rPr>
                <w:sz w:val="22"/>
                <w:szCs w:val="22"/>
              </w:rPr>
              <w:t xml:space="preserve">Our attendance data indicates that attendance among disadvantaged pupils </w:t>
            </w:r>
            <w:r>
              <w:rPr>
                <w:sz w:val="22"/>
                <w:szCs w:val="22"/>
              </w:rPr>
              <w:t>i</w:t>
            </w:r>
            <w:r w:rsidRPr="006C196D">
              <w:rPr>
                <w:sz w:val="22"/>
                <w:szCs w:val="22"/>
              </w:rPr>
              <w:t>s lower than non-disadvantaged pupils</w:t>
            </w:r>
            <w:r>
              <w:rPr>
                <w:sz w:val="22"/>
                <w:szCs w:val="22"/>
              </w:rPr>
              <w:t>, with PA being significantly higher.</w:t>
            </w:r>
            <w:r w:rsidRPr="006C196D">
              <w:rPr>
                <w:sz w:val="22"/>
                <w:szCs w:val="22"/>
              </w:rPr>
              <w:t xml:space="preserve"> </w:t>
            </w:r>
          </w:p>
          <w:p w14:paraId="688C0291" w14:textId="77777777" w:rsidR="00DC3EAC" w:rsidRDefault="00DC3EAC" w:rsidP="00C31636">
            <w:pPr>
              <w:pStyle w:val="TableRowCentered"/>
              <w:ind w:left="0" w:right="0"/>
              <w:jc w:val="left"/>
              <w:rPr>
                <w:sz w:val="22"/>
                <w:szCs w:val="22"/>
              </w:rPr>
            </w:pPr>
          </w:p>
          <w:p w14:paraId="4487B7BC" w14:textId="5AFC881C" w:rsidR="00DC3EAC" w:rsidRPr="00DC3EAC" w:rsidRDefault="00DC3EAC" w:rsidP="00C31636">
            <w:pPr>
              <w:pStyle w:val="TableRowCentered"/>
              <w:ind w:left="0" w:right="0"/>
              <w:jc w:val="left"/>
              <w:rPr>
                <w:sz w:val="22"/>
                <w:szCs w:val="22"/>
                <w:u w:val="single"/>
              </w:rPr>
            </w:pPr>
            <w:r w:rsidRPr="00DC3EAC">
              <w:rPr>
                <w:sz w:val="22"/>
                <w:szCs w:val="22"/>
                <w:u w:val="single"/>
              </w:rPr>
              <w:t>Attendance data</w:t>
            </w:r>
            <w:r>
              <w:rPr>
                <w:sz w:val="22"/>
                <w:szCs w:val="22"/>
                <w:u w:val="single"/>
              </w:rPr>
              <w:t xml:space="preserve"> trends for previous 3 academic years (Sept 22 to Jul 25)</w:t>
            </w:r>
            <w:r w:rsidRPr="00DC3EAC">
              <w:rPr>
                <w:sz w:val="22"/>
                <w:szCs w:val="22"/>
                <w:u w:val="single"/>
              </w:rPr>
              <w:t>:</w:t>
            </w:r>
          </w:p>
          <w:p w14:paraId="64848ABC" w14:textId="4400B7D5" w:rsidR="006C196D" w:rsidRPr="00DC3EAC" w:rsidRDefault="00DC3EAC" w:rsidP="00C31636">
            <w:pPr>
              <w:pStyle w:val="TableRowCentered"/>
              <w:ind w:left="0" w:right="0"/>
              <w:jc w:val="left"/>
              <w:rPr>
                <w:color w:val="1F497D" w:themeColor="text2"/>
                <w:sz w:val="22"/>
                <w:szCs w:val="22"/>
              </w:rPr>
            </w:pPr>
            <w:r w:rsidRPr="00DC3EAC">
              <w:rPr>
                <w:color w:val="1F497D" w:themeColor="text2"/>
                <w:sz w:val="22"/>
                <w:szCs w:val="22"/>
              </w:rPr>
              <w:t>Disadvantaged pupils attendance for the academic year was 95.37%.</w:t>
            </w:r>
          </w:p>
          <w:p w14:paraId="38D95C80" w14:textId="7CD991B9" w:rsidR="00DC3EAC" w:rsidRDefault="00DC3EAC" w:rsidP="00DC3EAC">
            <w:pPr>
              <w:pStyle w:val="TableRowCentered"/>
              <w:ind w:left="0" w:right="0"/>
              <w:jc w:val="left"/>
              <w:rPr>
                <w:color w:val="1F497D" w:themeColor="text2"/>
                <w:sz w:val="22"/>
                <w:szCs w:val="22"/>
              </w:rPr>
            </w:pPr>
            <w:r w:rsidRPr="00DC3EAC">
              <w:rPr>
                <w:color w:val="1F497D" w:themeColor="text2"/>
                <w:sz w:val="22"/>
                <w:szCs w:val="22"/>
              </w:rPr>
              <w:t>Non - Disadvantaged pupils attendance for the academic year was 95.58%.</w:t>
            </w:r>
          </w:p>
          <w:p w14:paraId="1CA31E98" w14:textId="77777777" w:rsidR="00DC3EAC" w:rsidRDefault="00DC3EAC" w:rsidP="00C31636">
            <w:pPr>
              <w:pStyle w:val="TableRowCentered"/>
              <w:ind w:left="0" w:right="0"/>
              <w:jc w:val="left"/>
              <w:rPr>
                <w:color w:val="1F497D" w:themeColor="text2"/>
                <w:sz w:val="22"/>
                <w:szCs w:val="22"/>
              </w:rPr>
            </w:pPr>
          </w:p>
          <w:p w14:paraId="3B4A4499" w14:textId="77777777" w:rsidR="00DC3EAC" w:rsidRPr="00DC3EAC" w:rsidRDefault="00DC3EAC" w:rsidP="00C31636">
            <w:pPr>
              <w:pStyle w:val="TableRowCentered"/>
              <w:ind w:left="0" w:right="0"/>
              <w:jc w:val="left"/>
              <w:rPr>
                <w:color w:val="1F497D" w:themeColor="text2"/>
                <w:sz w:val="22"/>
                <w:szCs w:val="22"/>
              </w:rPr>
            </w:pPr>
          </w:p>
          <w:p w14:paraId="231B4D43" w14:textId="1FA292D8" w:rsidR="00DC3EAC" w:rsidRPr="00DC3EAC" w:rsidRDefault="00DC3EAC" w:rsidP="00C31636">
            <w:pPr>
              <w:pStyle w:val="TableRowCentered"/>
              <w:ind w:left="0" w:right="0"/>
              <w:jc w:val="left"/>
              <w:rPr>
                <w:color w:val="1F497D" w:themeColor="text2"/>
                <w:sz w:val="22"/>
                <w:szCs w:val="22"/>
              </w:rPr>
            </w:pPr>
            <w:r w:rsidRPr="00DC3EAC">
              <w:rPr>
                <w:color w:val="1F497D" w:themeColor="text2"/>
                <w:sz w:val="22"/>
                <w:szCs w:val="22"/>
              </w:rPr>
              <w:t>10.26</w:t>
            </w:r>
            <w:r w:rsidR="006C196D" w:rsidRPr="00DC3EAC">
              <w:rPr>
                <w:color w:val="1F497D" w:themeColor="text2"/>
                <w:sz w:val="22"/>
                <w:szCs w:val="22"/>
              </w:rPr>
              <w:t xml:space="preserve">% of disadvantaged pupils have been ‘persistently absent’ compared to </w:t>
            </w:r>
            <w:r w:rsidRPr="00DC3EAC">
              <w:rPr>
                <w:color w:val="1F497D" w:themeColor="text2"/>
                <w:sz w:val="22"/>
                <w:szCs w:val="22"/>
              </w:rPr>
              <w:t>8.68</w:t>
            </w:r>
            <w:r w:rsidR="006C196D" w:rsidRPr="00DC3EAC">
              <w:rPr>
                <w:color w:val="1F497D" w:themeColor="text2"/>
                <w:sz w:val="22"/>
                <w:szCs w:val="22"/>
              </w:rPr>
              <w:t xml:space="preserve">% of their peers during that period. </w:t>
            </w:r>
          </w:p>
          <w:p w14:paraId="2A7D54F7" w14:textId="59A4D20E" w:rsidR="00E66558" w:rsidRDefault="006C196D" w:rsidP="00C31636">
            <w:pPr>
              <w:pStyle w:val="TableRowCentered"/>
              <w:ind w:left="0" w:right="0"/>
              <w:jc w:val="left"/>
              <w:rPr>
                <w:sz w:val="22"/>
                <w:szCs w:val="22"/>
              </w:rPr>
            </w:pPr>
            <w:r w:rsidRPr="00DC3EAC">
              <w:rPr>
                <w:color w:val="1F497D" w:themeColor="text2"/>
                <w:sz w:val="22"/>
                <w:szCs w:val="22"/>
              </w:rPr>
              <w:t>Our assessments and observations indicate that absenteeism is negatively impacting disadvantaged pupils’ progress.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6A67F741" w:rsidR="00E66558" w:rsidRDefault="00530F42" w:rsidP="00C31636">
            <w:pPr>
              <w:pStyle w:val="TableRow"/>
              <w:ind w:left="0" w:right="0"/>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B3D2D" w14:textId="4A87F7CB" w:rsidR="00E66558" w:rsidRDefault="006C196D" w:rsidP="00C31636">
            <w:pPr>
              <w:pStyle w:val="TableRowCentered"/>
              <w:ind w:left="0" w:right="0"/>
              <w:jc w:val="left"/>
              <w:rPr>
                <w:iCs/>
                <w:sz w:val="22"/>
              </w:rPr>
            </w:pPr>
            <w:r>
              <w:rPr>
                <w:iCs/>
                <w:sz w:val="22"/>
              </w:rPr>
              <w:t xml:space="preserve">Our ongoing work with families </w:t>
            </w:r>
            <w:r w:rsidR="00D9317B">
              <w:rPr>
                <w:iCs/>
                <w:sz w:val="22"/>
              </w:rPr>
              <w:t>has</w:t>
            </w:r>
            <w:r>
              <w:rPr>
                <w:iCs/>
                <w:sz w:val="22"/>
              </w:rPr>
              <w:t xml:space="preserve"> identified social and emotional issues for many pupils</w:t>
            </w:r>
            <w:r w:rsidR="009447E3">
              <w:rPr>
                <w:iCs/>
                <w:sz w:val="22"/>
              </w:rPr>
              <w:t xml:space="preserve"> and their families</w:t>
            </w:r>
            <w:r w:rsidR="00D9317B">
              <w:rPr>
                <w:iCs/>
                <w:sz w:val="22"/>
              </w:rPr>
              <w:t xml:space="preserve">, including a lack of enrichment opportunities. These challenges particularly affect disadvantaged pupils. </w:t>
            </w:r>
          </w:p>
          <w:p w14:paraId="2A7D54FA" w14:textId="4CC19FD9" w:rsidR="00D9317B" w:rsidRDefault="003F437D" w:rsidP="00C31636">
            <w:pPr>
              <w:pStyle w:val="TableRowCentered"/>
              <w:ind w:left="0" w:right="0"/>
              <w:jc w:val="left"/>
              <w:rPr>
                <w:iCs/>
                <w:sz w:val="22"/>
              </w:rPr>
            </w:pPr>
            <w:r>
              <w:rPr>
                <w:iCs/>
                <w:sz w:val="22"/>
              </w:rPr>
              <w:t xml:space="preserve">Data on engagement in clubs and shows an opportunity to increase participation among our disadvantaged pupils. </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14:paraId="2A7D5503" w14:textId="77777777" w:rsidTr="00D9317B">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D9317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1EF7" w14:textId="68862574" w:rsidR="00D9317B" w:rsidRPr="00D9317B" w:rsidRDefault="00D9317B" w:rsidP="00D9317B">
            <w:pPr>
              <w:pStyle w:val="TableRow"/>
              <w:numPr>
                <w:ilvl w:val="0"/>
                <w:numId w:val="1"/>
              </w:numPr>
              <w:spacing w:before="0" w:after="0"/>
              <w:rPr>
                <w:sz w:val="22"/>
                <w:szCs w:val="22"/>
              </w:rPr>
            </w:pPr>
            <w:r w:rsidRPr="00D9317B">
              <w:rPr>
                <w:sz w:val="22"/>
                <w:szCs w:val="22"/>
              </w:rPr>
              <w:t>Improved oral language</w:t>
            </w:r>
            <w:r>
              <w:rPr>
                <w:sz w:val="22"/>
                <w:szCs w:val="22"/>
              </w:rPr>
              <w:t xml:space="preserve"> skills and vocabulary among disadvantaged pupils.</w:t>
            </w:r>
          </w:p>
          <w:p w14:paraId="2A7D5504" w14:textId="34A54883" w:rsidR="00E66558" w:rsidRDefault="00E66558" w:rsidP="00D9317B">
            <w:pPr>
              <w:pStyle w:val="TableRow"/>
              <w:spacing w:before="0" w:after="0"/>
            </w:pP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2112802" w:rsidR="00E66558" w:rsidRDefault="00D9317B" w:rsidP="00C31636">
            <w:pPr>
              <w:pStyle w:val="TableRowCentered"/>
              <w:ind w:left="0" w:right="0"/>
              <w:jc w:val="left"/>
              <w:rPr>
                <w:sz w:val="22"/>
                <w:szCs w:val="22"/>
              </w:rPr>
            </w:pPr>
            <w:r w:rsidRPr="00D9317B">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rsidTr="00D9317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A582A04" w:rsidR="00E66558" w:rsidRDefault="00FB1F7A" w:rsidP="00C31636">
            <w:pPr>
              <w:pStyle w:val="TableRow"/>
              <w:ind w:left="0" w:right="0"/>
              <w:rPr>
                <w:sz w:val="22"/>
                <w:szCs w:val="22"/>
              </w:rPr>
            </w:pPr>
            <w:r>
              <w:rPr>
                <w:sz w:val="22"/>
                <w:szCs w:val="22"/>
              </w:rPr>
              <w:t>N</w:t>
            </w:r>
            <w:r w:rsidR="00D9317B">
              <w:rPr>
                <w:sz w:val="22"/>
                <w:szCs w:val="22"/>
              </w:rPr>
              <w:t xml:space="preserve">arrow the achievement gap between disadvantaged pupils and their peers by the end of their Early Years education. </w:t>
            </w: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2A4FDE9D" w:rsidR="00E66558" w:rsidRDefault="00D9317B" w:rsidP="00C31636">
            <w:pPr>
              <w:pStyle w:val="TableRowCentered"/>
              <w:ind w:left="0" w:right="0"/>
              <w:jc w:val="left"/>
              <w:rPr>
                <w:sz w:val="22"/>
                <w:szCs w:val="22"/>
              </w:rPr>
            </w:pPr>
            <w:r>
              <w:rPr>
                <w:sz w:val="22"/>
                <w:szCs w:val="22"/>
              </w:rPr>
              <w:t xml:space="preserve">Assessments will evidence an increase in the percentage of disadvantaged pupils attaining GLD at the end of EYFS2. The gap between this group of pupils and their peers will narrow. </w:t>
            </w:r>
          </w:p>
        </w:tc>
      </w:tr>
      <w:tr w:rsidR="00956EC5" w14:paraId="1F632550" w14:textId="77777777" w:rsidTr="00D9317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4DC32" w14:textId="5EEF85CE" w:rsidR="00152F8F" w:rsidRPr="00152F8F" w:rsidRDefault="003F437D" w:rsidP="00C31636">
            <w:pPr>
              <w:pStyle w:val="TableRow"/>
              <w:ind w:left="0" w:right="0"/>
              <w:rPr>
                <w:color w:val="0070C0"/>
                <w:sz w:val="22"/>
                <w:szCs w:val="22"/>
              </w:rPr>
            </w:pPr>
            <w:r>
              <w:rPr>
                <w:sz w:val="22"/>
                <w:szCs w:val="22"/>
              </w:rPr>
              <w:t xml:space="preserve">Pupils to make rapid and sustained progress in writing. </w:t>
            </w: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B771" w14:textId="77777777" w:rsidR="003F437D" w:rsidRDefault="003F437D" w:rsidP="00C31636">
            <w:pPr>
              <w:pStyle w:val="TableRowCentered"/>
              <w:ind w:left="0" w:right="0"/>
              <w:jc w:val="left"/>
              <w:rPr>
                <w:sz w:val="22"/>
                <w:szCs w:val="22"/>
              </w:rPr>
            </w:pPr>
            <w:r>
              <w:rPr>
                <w:sz w:val="22"/>
                <w:szCs w:val="22"/>
              </w:rPr>
              <w:t xml:space="preserve">Attainment for disadvantaged pupils continues on an upward trend for KS2 writing outcomes, narrowing he gap in comparison to all pupils. </w:t>
            </w:r>
          </w:p>
          <w:p w14:paraId="3CEE3DEC" w14:textId="77777777" w:rsidR="00956EC5" w:rsidRDefault="003F437D" w:rsidP="00C31636">
            <w:pPr>
              <w:pStyle w:val="TableRowCentered"/>
              <w:ind w:left="0" w:right="0"/>
              <w:jc w:val="left"/>
              <w:rPr>
                <w:sz w:val="22"/>
                <w:szCs w:val="22"/>
              </w:rPr>
            </w:pPr>
            <w:r>
              <w:rPr>
                <w:sz w:val="22"/>
                <w:szCs w:val="22"/>
              </w:rPr>
              <w:t xml:space="preserve">Pupils leaving EYFS will have clear and measurable targets to implement in KS1 to ensure all pupils have foundational writing knowledge, ready to developed within KS2. </w:t>
            </w:r>
          </w:p>
          <w:p w14:paraId="26D047E7" w14:textId="43457641" w:rsidR="003F437D" w:rsidRDefault="003F437D" w:rsidP="00C31636">
            <w:pPr>
              <w:pStyle w:val="TableRowCentered"/>
              <w:ind w:left="0" w:right="0"/>
              <w:jc w:val="left"/>
              <w:rPr>
                <w:sz w:val="22"/>
                <w:szCs w:val="22"/>
              </w:rPr>
            </w:pPr>
            <w:r>
              <w:rPr>
                <w:sz w:val="22"/>
                <w:szCs w:val="22"/>
              </w:rPr>
              <w:t xml:space="preserve">Internal data demonstrates that, in the main,  disadvantaged pupils are on track to meet their writing target, narrowing the attainment gap between disadvantaged and non-disadvantaged pupils within the school. </w:t>
            </w:r>
          </w:p>
        </w:tc>
      </w:tr>
      <w:tr w:rsidR="00E66558" w14:paraId="2A7D550C" w14:textId="77777777" w:rsidTr="00D9317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ED7FD42" w:rsidR="00E66558" w:rsidRDefault="00D9317B" w:rsidP="00C31636">
            <w:pPr>
              <w:pStyle w:val="TableRow"/>
              <w:ind w:left="0" w:right="0"/>
              <w:rPr>
                <w:sz w:val="22"/>
                <w:szCs w:val="22"/>
              </w:rPr>
            </w:pPr>
            <w:r>
              <w:rPr>
                <w:sz w:val="22"/>
                <w:szCs w:val="22"/>
              </w:rPr>
              <w:t>To achieve and sustain improved attendance for all pupils particularly disadvantaged pupils.</w:t>
            </w: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3E644337" w:rsidR="00D9317B" w:rsidRDefault="00D9317B" w:rsidP="00D9317B">
            <w:pPr>
              <w:pStyle w:val="TableRowCentered"/>
              <w:ind w:left="0" w:right="0"/>
              <w:jc w:val="left"/>
              <w:rPr>
                <w:sz w:val="22"/>
                <w:szCs w:val="22"/>
              </w:rPr>
            </w:pPr>
            <w:r>
              <w:rPr>
                <w:sz w:val="22"/>
                <w:szCs w:val="22"/>
              </w:rPr>
              <w:t xml:space="preserve">Sustained high attendance by 2027 / 2028 demonstrates a decrease in the percentage of disadvantaged pupils who are persistently absent and an increase in overall attendance. </w:t>
            </w:r>
          </w:p>
        </w:tc>
      </w:tr>
      <w:tr w:rsidR="00E66558" w14:paraId="2A7D550F" w14:textId="77777777" w:rsidTr="00D9317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ECD3C10" w:rsidR="00E66558" w:rsidRDefault="00D9317B" w:rsidP="00D9317B">
            <w:pPr>
              <w:pStyle w:val="TableRow"/>
              <w:spacing w:before="0" w:after="0"/>
              <w:ind w:left="0" w:right="0"/>
              <w:rPr>
                <w:sz w:val="22"/>
                <w:szCs w:val="22"/>
              </w:rPr>
            </w:pPr>
            <w:r>
              <w:rPr>
                <w:sz w:val="22"/>
                <w:szCs w:val="22"/>
              </w:rPr>
              <w:lastRenderedPageBreak/>
              <w:t>To achieve and sustain improved wellbeing for all pupils, particularly our disadvantaged pupils.</w:t>
            </w: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4F0AB" w14:textId="77777777" w:rsidR="00E66558" w:rsidRDefault="00D9317B" w:rsidP="00C31636">
            <w:pPr>
              <w:pStyle w:val="TableRowCentered"/>
              <w:ind w:left="0" w:right="0"/>
              <w:jc w:val="left"/>
              <w:rPr>
                <w:sz w:val="22"/>
                <w:szCs w:val="22"/>
              </w:rPr>
            </w:pPr>
            <w:r>
              <w:rPr>
                <w:sz w:val="22"/>
                <w:szCs w:val="22"/>
              </w:rPr>
              <w:t>Sustained high levels of wellbeing by 2027 / 2028 demonstrated by</w:t>
            </w:r>
            <w:r w:rsidR="00D70FAC">
              <w:rPr>
                <w:sz w:val="22"/>
                <w:szCs w:val="22"/>
              </w:rPr>
              <w:t>:</w:t>
            </w:r>
          </w:p>
          <w:p w14:paraId="4E1279DD" w14:textId="77777777" w:rsidR="00D70FAC" w:rsidRDefault="00D70FAC" w:rsidP="00C31636">
            <w:pPr>
              <w:pStyle w:val="TableRowCentered"/>
              <w:ind w:left="0" w:right="0"/>
              <w:jc w:val="left"/>
              <w:rPr>
                <w:sz w:val="22"/>
                <w:szCs w:val="22"/>
              </w:rPr>
            </w:pPr>
          </w:p>
          <w:p w14:paraId="27ADFCBE" w14:textId="2B3F0E62" w:rsidR="00D70FAC" w:rsidRDefault="00D70FAC" w:rsidP="00D70FAC">
            <w:pPr>
              <w:pStyle w:val="TableRowCentered"/>
              <w:numPr>
                <w:ilvl w:val="0"/>
                <w:numId w:val="19"/>
              </w:numPr>
              <w:ind w:right="0"/>
              <w:jc w:val="left"/>
              <w:rPr>
                <w:sz w:val="22"/>
                <w:szCs w:val="22"/>
              </w:rPr>
            </w:pPr>
            <w:r>
              <w:rPr>
                <w:sz w:val="22"/>
                <w:szCs w:val="22"/>
              </w:rPr>
              <w:t>Qualitive data from pupil and parent/carer surveys, including feedback from families who have been supported through Early Help.</w:t>
            </w:r>
          </w:p>
          <w:p w14:paraId="2A7D550E" w14:textId="7FAA7168" w:rsidR="00D70FAC" w:rsidRDefault="00D70FAC" w:rsidP="00D70FAC">
            <w:pPr>
              <w:pStyle w:val="TableRowCentered"/>
              <w:numPr>
                <w:ilvl w:val="0"/>
                <w:numId w:val="19"/>
              </w:numPr>
              <w:ind w:right="0"/>
              <w:jc w:val="left"/>
              <w:rPr>
                <w:sz w:val="22"/>
                <w:szCs w:val="22"/>
              </w:rPr>
            </w:pPr>
            <w:r>
              <w:rPr>
                <w:sz w:val="22"/>
                <w:szCs w:val="22"/>
              </w:rPr>
              <w:t xml:space="preserve">An increase in pupil participation in enrichment activities, particularly among disadvantaged pupils.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rsidRPr="004318C9">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9318B26" w:rsidR="00E66558" w:rsidRDefault="009D71E8">
      <w:r>
        <w:t>Budgeted cost: £</w:t>
      </w:r>
      <w:r w:rsidR="00E308A3">
        <w:t>11,555</w:t>
      </w:r>
    </w:p>
    <w:tbl>
      <w:tblPr>
        <w:tblW w:w="5000" w:type="pct"/>
        <w:tblCellMar>
          <w:left w:w="10" w:type="dxa"/>
          <w:right w:w="10" w:type="dxa"/>
        </w:tblCellMar>
        <w:tblLook w:val="04A0" w:firstRow="1" w:lastRow="0" w:firstColumn="1" w:lastColumn="0" w:noHBand="0" w:noVBand="1"/>
      </w:tblPr>
      <w:tblGrid>
        <w:gridCol w:w="2830"/>
        <w:gridCol w:w="4112"/>
        <w:gridCol w:w="2544"/>
      </w:tblGrid>
      <w:tr w:rsidR="004318C9" w14:paraId="2A7D5519" w14:textId="77777777" w:rsidTr="007E6E8A">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1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4318C9" w14:paraId="2A7D551D" w14:textId="77777777" w:rsidTr="007E6E8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3F4E" w14:textId="354043D4" w:rsidR="00E66558" w:rsidRDefault="00472114" w:rsidP="00C31636">
            <w:pPr>
              <w:pStyle w:val="TableRow"/>
              <w:ind w:left="0" w:right="0"/>
              <w:rPr>
                <w:sz w:val="22"/>
                <w:szCs w:val="22"/>
              </w:rPr>
            </w:pPr>
            <w:r w:rsidRPr="00472114">
              <w:rPr>
                <w:sz w:val="22"/>
                <w:szCs w:val="22"/>
              </w:rPr>
              <w:t xml:space="preserve">Implement </w:t>
            </w:r>
            <w:r w:rsidR="00157CA6">
              <w:rPr>
                <w:sz w:val="22"/>
                <w:szCs w:val="22"/>
              </w:rPr>
              <w:t xml:space="preserve">diagnostic assessments across school, including </w:t>
            </w:r>
            <w:r w:rsidRPr="00472114">
              <w:rPr>
                <w:sz w:val="22"/>
                <w:szCs w:val="22"/>
              </w:rPr>
              <w:t>Wellcom</w:t>
            </w:r>
            <w:r w:rsidR="00157CA6">
              <w:rPr>
                <w:sz w:val="22"/>
                <w:szCs w:val="22"/>
              </w:rPr>
              <w:t>, YARC, TTRS, RWI.</w:t>
            </w:r>
          </w:p>
          <w:p w14:paraId="7159D51A" w14:textId="77777777" w:rsidR="00472114" w:rsidRDefault="00472114" w:rsidP="00C31636">
            <w:pPr>
              <w:pStyle w:val="TableRow"/>
              <w:ind w:left="0" w:right="0"/>
              <w:rPr>
                <w:sz w:val="22"/>
                <w:szCs w:val="22"/>
              </w:rPr>
            </w:pPr>
          </w:p>
          <w:p w14:paraId="2A7D551A" w14:textId="44F9C935" w:rsidR="00472114" w:rsidRPr="00472114" w:rsidRDefault="00157CA6" w:rsidP="00C31636">
            <w:pPr>
              <w:pStyle w:val="TableRow"/>
              <w:ind w:left="0" w:right="0"/>
              <w:rPr>
                <w:sz w:val="22"/>
                <w:szCs w:val="22"/>
              </w:rPr>
            </w:pPr>
            <w:r>
              <w:rPr>
                <w:sz w:val="22"/>
                <w:szCs w:val="22"/>
              </w:rPr>
              <w:t>T</w:t>
            </w:r>
            <w:r w:rsidR="00472114">
              <w:rPr>
                <w:sz w:val="22"/>
                <w:szCs w:val="22"/>
              </w:rPr>
              <w:t xml:space="preserve">raining for staff to ensure assessments are interpreted and administered correctly. </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BED13" w14:textId="77777777" w:rsidR="00E66558" w:rsidRDefault="00472114" w:rsidP="00C31636">
            <w:pPr>
              <w:pStyle w:val="TableRowCentered"/>
              <w:ind w:left="0" w:right="0"/>
              <w:jc w:val="left"/>
              <w:rPr>
                <w:sz w:val="22"/>
                <w:szCs w:val="22"/>
              </w:rPr>
            </w:pPr>
            <w:r w:rsidRPr="00472114">
              <w:rPr>
                <w:sz w:val="22"/>
                <w:szCs w:val="22"/>
              </w:rPr>
              <w:t>When used effectively, diagnostic assessments can indicate areas for development for individual pupils, or across classes and year group</w:t>
            </w:r>
            <w:r>
              <w:rPr>
                <w:sz w:val="22"/>
                <w:szCs w:val="22"/>
              </w:rPr>
              <w:t>.</w:t>
            </w:r>
          </w:p>
          <w:p w14:paraId="2A7D551B" w14:textId="31835B66" w:rsidR="00472114" w:rsidRPr="00472114" w:rsidRDefault="00472114" w:rsidP="00C31636">
            <w:pPr>
              <w:pStyle w:val="TableRowCentered"/>
              <w:ind w:left="0" w:right="0"/>
              <w:jc w:val="left"/>
              <w:rPr>
                <w:sz w:val="22"/>
                <w:szCs w:val="22"/>
              </w:rPr>
            </w:pPr>
            <w:hyperlink r:id="rId12" w:history="1">
              <w:r w:rsidRPr="00472114">
                <w:rPr>
                  <w:rStyle w:val="Hyperlink"/>
                  <w:sz w:val="22"/>
                  <w:szCs w:val="22"/>
                </w:rPr>
                <w:t>Diagnostic assessment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E8798E8" w:rsidR="00E66558" w:rsidRPr="00472114" w:rsidRDefault="00472114" w:rsidP="00C31636">
            <w:pPr>
              <w:pStyle w:val="TableRowCentered"/>
              <w:ind w:left="0" w:right="0"/>
              <w:jc w:val="left"/>
              <w:rPr>
                <w:sz w:val="22"/>
                <w:szCs w:val="22"/>
              </w:rPr>
            </w:pPr>
            <w:r>
              <w:rPr>
                <w:sz w:val="22"/>
                <w:szCs w:val="22"/>
              </w:rPr>
              <w:t>1, 2</w:t>
            </w:r>
          </w:p>
        </w:tc>
      </w:tr>
      <w:tr w:rsidR="004318C9" w14:paraId="7D82EB88" w14:textId="77777777" w:rsidTr="007E6E8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020BF" w14:textId="33B3162D" w:rsidR="00472114" w:rsidRDefault="00472114" w:rsidP="00C31636">
            <w:pPr>
              <w:pStyle w:val="TableRow"/>
              <w:ind w:left="0" w:right="0"/>
              <w:rPr>
                <w:sz w:val="22"/>
                <w:szCs w:val="22"/>
              </w:rPr>
            </w:pPr>
            <w:r>
              <w:rPr>
                <w:sz w:val="22"/>
                <w:szCs w:val="22"/>
              </w:rPr>
              <w:t xml:space="preserve">Implement a robust oracy curriculum that supports language development across </w:t>
            </w:r>
            <w:r w:rsidR="00157CA6">
              <w:rPr>
                <w:sz w:val="22"/>
                <w:szCs w:val="22"/>
              </w:rPr>
              <w:t>subjects in all phases of school.</w:t>
            </w:r>
          </w:p>
          <w:p w14:paraId="3BB9BCFD" w14:textId="77777777" w:rsidR="00472114" w:rsidRDefault="00472114" w:rsidP="00C31636">
            <w:pPr>
              <w:pStyle w:val="TableRow"/>
              <w:ind w:left="0" w:right="0"/>
              <w:rPr>
                <w:sz w:val="22"/>
                <w:szCs w:val="22"/>
              </w:rPr>
            </w:pPr>
          </w:p>
          <w:p w14:paraId="0DADBD1C" w14:textId="77DA70C4" w:rsidR="00472114" w:rsidRPr="00472114" w:rsidRDefault="00157CA6" w:rsidP="00C31636">
            <w:pPr>
              <w:pStyle w:val="TableRow"/>
              <w:ind w:left="0" w:right="0"/>
              <w:rPr>
                <w:sz w:val="22"/>
                <w:szCs w:val="22"/>
              </w:rPr>
            </w:pPr>
            <w:r>
              <w:rPr>
                <w:sz w:val="22"/>
                <w:szCs w:val="22"/>
              </w:rPr>
              <w:t>CPD for staff on oracy and how to embed this effectively within all lessons.</w:t>
            </w:r>
            <w:r w:rsidR="00472114">
              <w:rPr>
                <w:sz w:val="22"/>
                <w:szCs w:val="22"/>
              </w:rPr>
              <w:t xml:space="preserve"> </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7172" w14:textId="12B0539D" w:rsidR="00157CA6" w:rsidRDefault="00873B30" w:rsidP="00C31636">
            <w:pPr>
              <w:pStyle w:val="TableRowCentered"/>
              <w:ind w:left="0" w:right="0"/>
              <w:jc w:val="left"/>
              <w:rPr>
                <w:sz w:val="22"/>
                <w:szCs w:val="22"/>
              </w:rPr>
            </w:pPr>
            <w:r>
              <w:rPr>
                <w:sz w:val="22"/>
                <w:szCs w:val="22"/>
              </w:rPr>
              <w:t xml:space="preserve">When consistently implemented  the average impact of an effective oracy curriculum for pupils is 6 months additional impact over the course of the year. </w:t>
            </w:r>
          </w:p>
          <w:p w14:paraId="5D3C84D5" w14:textId="318DE8D0" w:rsidR="00472114" w:rsidRPr="00472114" w:rsidRDefault="00873B30" w:rsidP="00C31636">
            <w:pPr>
              <w:pStyle w:val="TableRowCentered"/>
              <w:ind w:left="0" w:right="0"/>
              <w:jc w:val="left"/>
              <w:rPr>
                <w:sz w:val="22"/>
                <w:szCs w:val="22"/>
              </w:rPr>
            </w:pPr>
            <w:hyperlink r:id="rId13" w:history="1">
              <w:r w:rsidRPr="00873B30">
                <w:rPr>
                  <w:rStyle w:val="Hyperlink"/>
                  <w:sz w:val="22"/>
                  <w:szCs w:val="22"/>
                </w:rPr>
                <w:t>Oral language – Teaching and Learning Toolkit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0B8EA" w14:textId="05038150" w:rsidR="00472114" w:rsidRDefault="00157CA6" w:rsidP="00C31636">
            <w:pPr>
              <w:pStyle w:val="TableRowCentered"/>
              <w:ind w:left="0" w:right="0"/>
              <w:jc w:val="left"/>
              <w:rPr>
                <w:sz w:val="22"/>
                <w:szCs w:val="22"/>
              </w:rPr>
            </w:pPr>
            <w:r>
              <w:rPr>
                <w:sz w:val="22"/>
                <w:szCs w:val="22"/>
              </w:rPr>
              <w:t>1, 2</w:t>
            </w:r>
          </w:p>
        </w:tc>
      </w:tr>
      <w:tr w:rsidR="004318C9" w14:paraId="333518C1" w14:textId="77777777" w:rsidTr="007E6E8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01DA0" w14:textId="5D65DDA1" w:rsidR="002A0723" w:rsidRDefault="002A0723" w:rsidP="00C31636">
            <w:pPr>
              <w:pStyle w:val="TableRow"/>
              <w:ind w:left="0" w:right="0"/>
              <w:rPr>
                <w:sz w:val="22"/>
                <w:szCs w:val="22"/>
              </w:rPr>
            </w:pPr>
            <w:r>
              <w:rPr>
                <w:sz w:val="22"/>
                <w:szCs w:val="22"/>
              </w:rPr>
              <w:t xml:space="preserve">Consistently implement </w:t>
            </w:r>
            <w:r w:rsidR="001555FF">
              <w:rPr>
                <w:sz w:val="22"/>
                <w:szCs w:val="22"/>
              </w:rPr>
              <w:t>Numbersense</w:t>
            </w:r>
            <w:r>
              <w:rPr>
                <w:sz w:val="22"/>
                <w:szCs w:val="22"/>
              </w:rPr>
              <w:t xml:space="preserve"> across EYFS and KS1 to secure pupil’s early number </w:t>
            </w:r>
            <w:r>
              <w:rPr>
                <w:sz w:val="22"/>
                <w:szCs w:val="22"/>
              </w:rPr>
              <w:lastRenderedPageBreak/>
              <w:t>sense and confidence in maths.</w:t>
            </w:r>
          </w:p>
          <w:p w14:paraId="10005E60" w14:textId="77777777" w:rsidR="002A0723" w:rsidRDefault="002A0723" w:rsidP="00C31636">
            <w:pPr>
              <w:pStyle w:val="TableRow"/>
              <w:ind w:left="0" w:right="0"/>
              <w:rPr>
                <w:sz w:val="22"/>
                <w:szCs w:val="22"/>
              </w:rPr>
            </w:pPr>
          </w:p>
          <w:p w14:paraId="026F1E51" w14:textId="34D8C0E5" w:rsidR="002A0723" w:rsidRPr="00472114" w:rsidRDefault="002A0723" w:rsidP="00C31636">
            <w:pPr>
              <w:pStyle w:val="TableRow"/>
              <w:ind w:left="0" w:right="0"/>
              <w:rPr>
                <w:sz w:val="22"/>
                <w:szCs w:val="22"/>
              </w:rPr>
            </w:pPr>
            <w:r>
              <w:rPr>
                <w:sz w:val="22"/>
                <w:szCs w:val="22"/>
              </w:rPr>
              <w:t xml:space="preserve">Fund maths lead release time to embed the key elements of number sense, ensure a systematic approach to the teaching of early mathematics and review the impact on pupil achievement. </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59E8E" w14:textId="1B08A75A" w:rsidR="003D2A17" w:rsidRDefault="003D2A17" w:rsidP="00C31636">
            <w:pPr>
              <w:pStyle w:val="TableRowCentered"/>
              <w:ind w:left="0" w:right="0"/>
              <w:jc w:val="left"/>
              <w:rPr>
                <w:sz w:val="22"/>
                <w:szCs w:val="22"/>
              </w:rPr>
            </w:pPr>
            <w:r>
              <w:rPr>
                <w:sz w:val="22"/>
                <w:szCs w:val="22"/>
              </w:rPr>
              <w:lastRenderedPageBreak/>
              <w:t xml:space="preserve">Having a deep and secure understanding of number lays the firm foundations that sets children up for success later on. </w:t>
            </w:r>
          </w:p>
          <w:p w14:paraId="7BEAA7FE" w14:textId="00AA9D74" w:rsidR="00472114" w:rsidRPr="00472114" w:rsidRDefault="003D2A17" w:rsidP="00C31636">
            <w:pPr>
              <w:pStyle w:val="TableRowCentered"/>
              <w:ind w:left="0" w:right="0"/>
              <w:jc w:val="left"/>
              <w:rPr>
                <w:sz w:val="22"/>
                <w:szCs w:val="22"/>
              </w:rPr>
            </w:pPr>
            <w:hyperlink r:id="rId14" w:history="1">
              <w:r w:rsidRPr="003D2A17">
                <w:rPr>
                  <w:rStyle w:val="Hyperlink"/>
                  <w:sz w:val="22"/>
                  <w:szCs w:val="22"/>
                </w:rPr>
                <w:t>Improving Mathematics in Early Years and Key Stage 1 Guidance Report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BBFAC" w14:textId="48F61DA2" w:rsidR="00472114" w:rsidRDefault="00D30CE3" w:rsidP="00C31636">
            <w:pPr>
              <w:pStyle w:val="TableRowCentered"/>
              <w:ind w:left="0" w:right="0"/>
              <w:jc w:val="left"/>
              <w:rPr>
                <w:sz w:val="22"/>
                <w:szCs w:val="22"/>
              </w:rPr>
            </w:pPr>
            <w:r>
              <w:rPr>
                <w:sz w:val="22"/>
                <w:szCs w:val="22"/>
              </w:rPr>
              <w:lastRenderedPageBreak/>
              <w:t>1</w:t>
            </w:r>
          </w:p>
        </w:tc>
      </w:tr>
      <w:tr w:rsidR="004318C9" w14:paraId="17B3EF3D" w14:textId="77777777" w:rsidTr="007E6E8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67DB" w14:textId="12030291" w:rsidR="00472114" w:rsidRDefault="003D2A17" w:rsidP="00C31636">
            <w:pPr>
              <w:pStyle w:val="TableRow"/>
              <w:ind w:left="0" w:right="0"/>
              <w:rPr>
                <w:sz w:val="22"/>
                <w:szCs w:val="22"/>
              </w:rPr>
            </w:pPr>
            <w:r>
              <w:rPr>
                <w:sz w:val="22"/>
                <w:szCs w:val="22"/>
              </w:rPr>
              <w:t xml:space="preserve">Consistent approach to the teaching of </w:t>
            </w:r>
            <w:r w:rsidR="003B0D89">
              <w:rPr>
                <w:sz w:val="22"/>
                <w:szCs w:val="22"/>
              </w:rPr>
              <w:t>lite</w:t>
            </w:r>
            <w:r w:rsidR="00A822E9">
              <w:rPr>
                <w:sz w:val="22"/>
                <w:szCs w:val="22"/>
              </w:rPr>
              <w:t>racy</w:t>
            </w:r>
            <w:r>
              <w:rPr>
                <w:sz w:val="22"/>
                <w:szCs w:val="22"/>
              </w:rPr>
              <w:t xml:space="preserve"> that encompasses </w:t>
            </w:r>
            <w:r w:rsidR="00A822E9">
              <w:rPr>
                <w:sz w:val="22"/>
                <w:szCs w:val="22"/>
              </w:rPr>
              <w:t>the firm foundations required to become a fluent and confident writer</w:t>
            </w:r>
            <w:r>
              <w:rPr>
                <w:sz w:val="22"/>
                <w:szCs w:val="22"/>
              </w:rPr>
              <w:t>.</w:t>
            </w:r>
          </w:p>
          <w:p w14:paraId="4909C2D1" w14:textId="77777777" w:rsidR="003D2A17" w:rsidRDefault="003D2A17" w:rsidP="00C31636">
            <w:pPr>
              <w:pStyle w:val="TableRow"/>
              <w:ind w:left="0" w:right="0"/>
              <w:rPr>
                <w:sz w:val="22"/>
                <w:szCs w:val="22"/>
              </w:rPr>
            </w:pPr>
          </w:p>
          <w:p w14:paraId="268F0ED6" w14:textId="77777777" w:rsidR="003D2A17" w:rsidRDefault="003D2A17" w:rsidP="00C31636">
            <w:pPr>
              <w:pStyle w:val="TableRow"/>
              <w:ind w:left="0" w:right="0"/>
              <w:rPr>
                <w:sz w:val="22"/>
                <w:szCs w:val="22"/>
              </w:rPr>
            </w:pPr>
            <w:r>
              <w:rPr>
                <w:sz w:val="22"/>
                <w:szCs w:val="22"/>
              </w:rPr>
              <w:t xml:space="preserve">CPD on </w:t>
            </w:r>
            <w:r w:rsidR="00A822E9">
              <w:rPr>
                <w:sz w:val="22"/>
                <w:szCs w:val="22"/>
              </w:rPr>
              <w:t>handwriting, spelling and writing, linked to the new DfE Writing Framework</w:t>
            </w:r>
            <w:r>
              <w:rPr>
                <w:sz w:val="22"/>
                <w:szCs w:val="22"/>
              </w:rPr>
              <w:t xml:space="preserve">. </w:t>
            </w:r>
          </w:p>
          <w:p w14:paraId="791B9886" w14:textId="77777777" w:rsidR="004318C9" w:rsidRDefault="004318C9" w:rsidP="00C31636">
            <w:pPr>
              <w:pStyle w:val="TableRow"/>
              <w:ind w:left="0" w:right="0"/>
              <w:rPr>
                <w:sz w:val="22"/>
                <w:szCs w:val="22"/>
              </w:rPr>
            </w:pPr>
          </w:p>
          <w:p w14:paraId="1EE4A6D4" w14:textId="6C97AE45" w:rsidR="004318C9" w:rsidRPr="00472114" w:rsidRDefault="004318C9" w:rsidP="00C31636">
            <w:pPr>
              <w:pStyle w:val="TableRow"/>
              <w:ind w:left="0" w:right="0"/>
              <w:rPr>
                <w:sz w:val="22"/>
                <w:szCs w:val="22"/>
              </w:rPr>
            </w:pPr>
            <w:r>
              <w:rPr>
                <w:sz w:val="22"/>
                <w:szCs w:val="22"/>
              </w:rPr>
              <w:t xml:space="preserve">New pencil grip and handwriting assessment tools to be implemented for all staff. </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1BC52" w14:textId="24D1DDF5" w:rsidR="004318C9" w:rsidRPr="004318C9" w:rsidRDefault="003D2A17" w:rsidP="00C31636">
            <w:pPr>
              <w:pStyle w:val="TableRowCentered"/>
              <w:ind w:left="0" w:right="0"/>
              <w:jc w:val="left"/>
              <w:rPr>
                <w:sz w:val="22"/>
                <w:szCs w:val="22"/>
              </w:rPr>
            </w:pPr>
            <w:r w:rsidRPr="004318C9">
              <w:rPr>
                <w:sz w:val="22"/>
                <w:szCs w:val="22"/>
              </w:rPr>
              <w:t xml:space="preserve"> </w:t>
            </w:r>
            <w:r w:rsidR="004318C9" w:rsidRPr="004318C9">
              <w:rPr>
                <w:sz w:val="22"/>
                <w:szCs w:val="22"/>
              </w:rPr>
              <w:t>Teaching staff to have a</w:t>
            </w:r>
            <w:r w:rsidR="004318C9">
              <w:rPr>
                <w:sz w:val="22"/>
                <w:szCs w:val="22"/>
              </w:rPr>
              <w:t xml:space="preserve"> robust assessment system allows for targeted support for pupils who do not foundational skills for writing. </w:t>
            </w:r>
          </w:p>
          <w:p w14:paraId="17610F40" w14:textId="77777777" w:rsidR="004318C9" w:rsidRPr="004318C9" w:rsidRDefault="004318C9" w:rsidP="00C31636">
            <w:pPr>
              <w:pStyle w:val="TableRowCentered"/>
              <w:ind w:left="0" w:right="0"/>
              <w:jc w:val="left"/>
              <w:rPr>
                <w:sz w:val="22"/>
                <w:szCs w:val="22"/>
              </w:rPr>
            </w:pPr>
          </w:p>
          <w:p w14:paraId="44E0D8B3" w14:textId="22C269C9" w:rsidR="00472114" w:rsidRPr="004318C9" w:rsidRDefault="004318C9" w:rsidP="00C31636">
            <w:pPr>
              <w:pStyle w:val="TableRowCentered"/>
              <w:ind w:left="0" w:right="0"/>
              <w:jc w:val="left"/>
              <w:rPr>
                <w:sz w:val="22"/>
                <w:szCs w:val="22"/>
                <w:lang w:val="nl-NL"/>
              </w:rPr>
            </w:pPr>
            <w:hyperlink r:id="rId15" w:history="1">
              <w:r w:rsidRPr="004318C9">
                <w:rPr>
                  <w:rStyle w:val="Hyperlink"/>
                  <w:sz w:val="22"/>
                  <w:szCs w:val="22"/>
                  <w:lang w:val="nl-NL"/>
                </w:rPr>
                <w:t>EEF – Helping Handwriting Shine</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2206" w14:textId="196BA417" w:rsidR="00472114" w:rsidRDefault="00D30CE3" w:rsidP="00C31636">
            <w:pPr>
              <w:pStyle w:val="TableRowCentered"/>
              <w:ind w:left="0" w:right="0"/>
              <w:jc w:val="left"/>
              <w:rPr>
                <w:sz w:val="22"/>
                <w:szCs w:val="22"/>
              </w:rPr>
            </w:pPr>
            <w:r>
              <w:rPr>
                <w:sz w:val="22"/>
                <w:szCs w:val="22"/>
              </w:rPr>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710E2C7" w:rsidR="00E66558" w:rsidRDefault="009D71E8">
      <w:r>
        <w:t>Budgeted cost: £</w:t>
      </w:r>
      <w:r w:rsidR="001459AD">
        <w:t>24,442</w:t>
      </w:r>
    </w:p>
    <w:tbl>
      <w:tblPr>
        <w:tblW w:w="5000" w:type="pct"/>
        <w:tblCellMar>
          <w:left w:w="10" w:type="dxa"/>
          <w:right w:w="10" w:type="dxa"/>
        </w:tblCellMar>
        <w:tblLook w:val="04A0" w:firstRow="1" w:lastRow="0" w:firstColumn="1" w:lastColumn="0" w:noHBand="0" w:noVBand="1"/>
      </w:tblPr>
      <w:tblGrid>
        <w:gridCol w:w="2830"/>
        <w:gridCol w:w="4112"/>
        <w:gridCol w:w="2544"/>
      </w:tblGrid>
      <w:tr w:rsidR="00E66558" w14:paraId="2A7D5528" w14:textId="77777777" w:rsidTr="007E6E8A">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1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7E6E8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3EDC" w14:textId="11571087" w:rsidR="00B756CB" w:rsidRDefault="00B756CB" w:rsidP="00FE34B7">
            <w:pPr>
              <w:pStyle w:val="TableRowCentered"/>
              <w:ind w:left="0"/>
              <w:jc w:val="left"/>
              <w:rPr>
                <w:sz w:val="22"/>
              </w:rPr>
            </w:pPr>
            <w:r w:rsidRPr="00B756CB">
              <w:rPr>
                <w:sz w:val="22"/>
              </w:rPr>
              <w:t>One to one and small group</w:t>
            </w:r>
            <w:r>
              <w:rPr>
                <w:sz w:val="22"/>
              </w:rPr>
              <w:t xml:space="preserve"> additional support delivered in addition </w:t>
            </w:r>
            <w:r w:rsidR="00FE34B7">
              <w:rPr>
                <w:sz w:val="22"/>
              </w:rPr>
              <w:t>to and</w:t>
            </w:r>
            <w:r>
              <w:rPr>
                <w:sz w:val="22"/>
              </w:rPr>
              <w:t xml:space="preserve"> linked with normal lessons</w:t>
            </w:r>
            <w:r w:rsidR="00EC219C">
              <w:rPr>
                <w:sz w:val="22"/>
              </w:rPr>
              <w:t>.</w:t>
            </w:r>
          </w:p>
          <w:p w14:paraId="45D77A75" w14:textId="77777777" w:rsidR="00FE34B7" w:rsidRDefault="00FE34B7" w:rsidP="00FE34B7">
            <w:pPr>
              <w:pStyle w:val="TableRowCentered"/>
              <w:jc w:val="left"/>
              <w:rPr>
                <w:sz w:val="22"/>
              </w:rPr>
            </w:pPr>
          </w:p>
          <w:p w14:paraId="69B3DCD8" w14:textId="212C9B9F" w:rsidR="00FE34B7" w:rsidRPr="00B756CB" w:rsidRDefault="00FE34B7" w:rsidP="00FE34B7">
            <w:pPr>
              <w:pStyle w:val="TableRowCentered"/>
              <w:ind w:left="0"/>
              <w:jc w:val="left"/>
              <w:rPr>
                <w:sz w:val="22"/>
              </w:rPr>
            </w:pPr>
            <w:r>
              <w:rPr>
                <w:sz w:val="22"/>
              </w:rPr>
              <w:t xml:space="preserve">Regular review points to measure the impact of intervention. </w:t>
            </w:r>
          </w:p>
          <w:p w14:paraId="2A7D5529" w14:textId="66B6BFEE" w:rsidR="00E66558" w:rsidRDefault="00E66558" w:rsidP="00B756CB">
            <w:pPr>
              <w:pStyle w:val="TableRowCentered"/>
              <w:numPr>
                <w:ilvl w:val="0"/>
                <w:numId w:val="1"/>
              </w:numPr>
              <w:jc w:val="left"/>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B33F" w14:textId="2E237288" w:rsidR="00FE34B7" w:rsidRDefault="00FE34B7" w:rsidP="00B756CB">
            <w:pPr>
              <w:pStyle w:val="TableRowCentered"/>
              <w:numPr>
                <w:ilvl w:val="0"/>
                <w:numId w:val="1"/>
              </w:numPr>
              <w:jc w:val="left"/>
              <w:rPr>
                <w:sz w:val="22"/>
              </w:rPr>
            </w:pPr>
            <w:r>
              <w:rPr>
                <w:sz w:val="22"/>
              </w:rPr>
              <w:t>T</w:t>
            </w:r>
            <w:r w:rsidR="00B756CB" w:rsidRPr="00B756CB">
              <w:rPr>
                <w:sz w:val="22"/>
              </w:rPr>
              <w:t>argeted</w:t>
            </w:r>
            <w:r>
              <w:rPr>
                <w:sz w:val="22"/>
              </w:rPr>
              <w:t xml:space="preserve"> support</w:t>
            </w:r>
            <w:r w:rsidR="00B756CB" w:rsidRPr="00B756CB">
              <w:rPr>
                <w:sz w:val="22"/>
              </w:rPr>
              <w:t xml:space="preserve"> at specific needs and knowledge gaps can be an effective method to support low attaining pupils or those falling behind</w:t>
            </w:r>
            <w:r>
              <w:rPr>
                <w:sz w:val="22"/>
              </w:rPr>
              <w:t>.</w:t>
            </w:r>
          </w:p>
          <w:p w14:paraId="0E055ECC" w14:textId="5A91EEE5" w:rsidR="00FE34B7" w:rsidRDefault="00B756CB" w:rsidP="00B756CB">
            <w:pPr>
              <w:pStyle w:val="TableRowCentered"/>
              <w:numPr>
                <w:ilvl w:val="0"/>
                <w:numId w:val="1"/>
              </w:numPr>
              <w:jc w:val="left"/>
              <w:rPr>
                <w:sz w:val="22"/>
              </w:rPr>
            </w:pPr>
            <w:hyperlink r:id="rId16" w:history="1">
              <w:r w:rsidRPr="00FE34B7">
                <w:rPr>
                  <w:rStyle w:val="Hyperlink"/>
                  <w:sz w:val="22"/>
                </w:rPr>
                <w:t>One to one tuition | Teaching and Learning Toolkit | EEF</w:t>
              </w:r>
            </w:hyperlink>
            <w:r w:rsidRPr="00B756CB">
              <w:rPr>
                <w:sz w:val="22"/>
              </w:rPr>
              <w:t xml:space="preserve"> </w:t>
            </w:r>
          </w:p>
          <w:p w14:paraId="32ADF170" w14:textId="3EDE53F5" w:rsidR="00FE34B7" w:rsidRDefault="00B756CB" w:rsidP="00B756CB">
            <w:pPr>
              <w:pStyle w:val="TableRowCentered"/>
              <w:numPr>
                <w:ilvl w:val="0"/>
                <w:numId w:val="1"/>
              </w:numPr>
              <w:jc w:val="left"/>
              <w:rPr>
                <w:sz w:val="22"/>
              </w:rPr>
            </w:pPr>
            <w:hyperlink r:id="rId17" w:history="1">
              <w:r w:rsidRPr="00FE34B7">
                <w:rPr>
                  <w:rStyle w:val="Hyperlink"/>
                  <w:sz w:val="22"/>
                </w:rPr>
                <w:t xml:space="preserve">Small group </w:t>
              </w:r>
              <w:r w:rsidR="00FE34B7" w:rsidRPr="00FE34B7">
                <w:rPr>
                  <w:rStyle w:val="Hyperlink"/>
                  <w:sz w:val="22"/>
                </w:rPr>
                <w:t>tuition Teaching and Learning Toolkit EEF</w:t>
              </w:r>
            </w:hyperlink>
          </w:p>
          <w:p w14:paraId="2A7D552A" w14:textId="02EE913E" w:rsidR="00E66558" w:rsidRDefault="00E66558" w:rsidP="00FE34B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796D17E" w:rsidR="00E66558" w:rsidRDefault="00B756CB" w:rsidP="00C31636">
            <w:pPr>
              <w:pStyle w:val="TableRowCentered"/>
              <w:ind w:left="0" w:right="0"/>
              <w:jc w:val="left"/>
              <w:rPr>
                <w:sz w:val="22"/>
              </w:rPr>
            </w:pPr>
            <w:r>
              <w:rPr>
                <w:sz w:val="22"/>
              </w:rPr>
              <w:t>1, 2,</w:t>
            </w:r>
          </w:p>
        </w:tc>
      </w:tr>
      <w:tr w:rsidR="00E66558" w14:paraId="2A7D5530" w14:textId="77777777" w:rsidTr="007E6E8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3F061" w14:textId="77777777" w:rsidR="00E66558" w:rsidRDefault="00FE34B7" w:rsidP="00C31636">
            <w:pPr>
              <w:pStyle w:val="TableRow"/>
              <w:ind w:left="0" w:right="0"/>
              <w:rPr>
                <w:iCs/>
                <w:sz w:val="22"/>
              </w:rPr>
            </w:pPr>
            <w:r>
              <w:rPr>
                <w:iCs/>
                <w:sz w:val="22"/>
              </w:rPr>
              <w:t xml:space="preserve">Implement bespoke SALT packages to best support </w:t>
            </w:r>
            <w:r>
              <w:rPr>
                <w:iCs/>
                <w:sz w:val="22"/>
              </w:rPr>
              <w:lastRenderedPageBreak/>
              <w:t xml:space="preserve">individual speech and language development. </w:t>
            </w:r>
          </w:p>
          <w:p w14:paraId="31E5A4CC" w14:textId="77777777" w:rsidR="00FE34B7" w:rsidRDefault="00FE34B7" w:rsidP="00C31636">
            <w:pPr>
              <w:pStyle w:val="TableRow"/>
              <w:ind w:left="0" w:right="0"/>
              <w:rPr>
                <w:iCs/>
                <w:sz w:val="22"/>
              </w:rPr>
            </w:pPr>
          </w:p>
          <w:p w14:paraId="2A7D552D" w14:textId="3D714498" w:rsidR="00FE34B7" w:rsidRPr="00B756CB" w:rsidRDefault="00FE34B7" w:rsidP="00C31636">
            <w:pPr>
              <w:pStyle w:val="TableRow"/>
              <w:ind w:left="0" w:right="0"/>
              <w:rPr>
                <w:iCs/>
                <w:sz w:val="22"/>
              </w:rPr>
            </w:pPr>
            <w:r>
              <w:rPr>
                <w:iCs/>
                <w:sz w:val="22"/>
              </w:rPr>
              <w:t>CPD to best support the SALT TEAACH Champion.</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CD2A" w14:textId="77777777" w:rsidR="00E66558" w:rsidRDefault="00DB3093" w:rsidP="00C31636">
            <w:pPr>
              <w:pStyle w:val="TableRowCentered"/>
              <w:ind w:left="0" w:right="0"/>
              <w:jc w:val="left"/>
              <w:rPr>
                <w:iCs/>
                <w:sz w:val="22"/>
              </w:rPr>
            </w:pPr>
            <w:r>
              <w:rPr>
                <w:iCs/>
                <w:sz w:val="22"/>
              </w:rPr>
              <w:lastRenderedPageBreak/>
              <w:t xml:space="preserve">Oral language interventions can be an effective approach for disadvantaged pupils. </w:t>
            </w:r>
          </w:p>
          <w:p w14:paraId="2A7D552E" w14:textId="5C034C54" w:rsidR="00DB3093" w:rsidRPr="00B756CB" w:rsidRDefault="00DB3093" w:rsidP="00C31636">
            <w:pPr>
              <w:pStyle w:val="TableRowCentered"/>
              <w:ind w:left="0" w:right="0"/>
              <w:jc w:val="left"/>
              <w:rPr>
                <w:iCs/>
                <w:sz w:val="22"/>
              </w:rPr>
            </w:pPr>
            <w:hyperlink r:id="rId18" w:history="1">
              <w:r w:rsidRPr="00DB3093">
                <w:rPr>
                  <w:rStyle w:val="Hyperlink"/>
                  <w:iCs/>
                  <w:sz w:val="22"/>
                </w:rPr>
                <w:t>Oral Language Interventions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83324E1" w:rsidR="00E66558" w:rsidRPr="00B756CB" w:rsidRDefault="00DB3093" w:rsidP="00C31636">
            <w:pPr>
              <w:pStyle w:val="TableRowCentered"/>
              <w:ind w:left="0" w:right="0"/>
              <w:jc w:val="left"/>
              <w:rPr>
                <w:iCs/>
                <w:sz w:val="22"/>
              </w:rPr>
            </w:pPr>
            <w:r>
              <w:rPr>
                <w:iCs/>
                <w:sz w:val="22"/>
              </w:rPr>
              <w:lastRenderedPageBreak/>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E3B73BF" w:rsidR="00E66558" w:rsidRDefault="009D71E8">
      <w:pPr>
        <w:spacing w:before="240" w:after="120"/>
      </w:pPr>
      <w:r>
        <w:t>Budgeted cost: £</w:t>
      </w:r>
      <w:r w:rsidR="00E4683D">
        <w:t>33,023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95956" w14:textId="22D76EEC" w:rsidR="00E66558" w:rsidRPr="00C622FD" w:rsidRDefault="00FE4921" w:rsidP="00C31636">
            <w:pPr>
              <w:pStyle w:val="TableRow"/>
              <w:ind w:left="0" w:right="0"/>
              <w:rPr>
                <w:sz w:val="22"/>
                <w:szCs w:val="22"/>
              </w:rPr>
            </w:pPr>
            <w:r w:rsidRPr="00C622FD">
              <w:rPr>
                <w:sz w:val="22"/>
                <w:szCs w:val="22"/>
              </w:rPr>
              <w:t>E</w:t>
            </w:r>
            <w:r w:rsidR="00C622FD" w:rsidRPr="00C622FD">
              <w:rPr>
                <w:sz w:val="22"/>
                <w:szCs w:val="22"/>
              </w:rPr>
              <w:t>m</w:t>
            </w:r>
            <w:r w:rsidRPr="00C622FD">
              <w:rPr>
                <w:sz w:val="22"/>
                <w:szCs w:val="22"/>
              </w:rPr>
              <w:t xml:space="preserve">bed the </w:t>
            </w:r>
            <w:r w:rsidR="00C622FD" w:rsidRPr="00C622FD">
              <w:rPr>
                <w:sz w:val="22"/>
                <w:szCs w:val="22"/>
              </w:rPr>
              <w:t>principles</w:t>
            </w:r>
            <w:r w:rsidRPr="00C622FD">
              <w:rPr>
                <w:sz w:val="22"/>
                <w:szCs w:val="22"/>
              </w:rPr>
              <w:t xml:space="preserve"> of good practice set out in the DfE’s guidance on working together to improve school attendance.</w:t>
            </w:r>
          </w:p>
          <w:p w14:paraId="56F090E0" w14:textId="77777777" w:rsidR="00FE4921" w:rsidRPr="00C622FD" w:rsidRDefault="00FE4921" w:rsidP="00C31636">
            <w:pPr>
              <w:pStyle w:val="TableRow"/>
              <w:ind w:left="0" w:right="0"/>
              <w:rPr>
                <w:sz w:val="22"/>
                <w:szCs w:val="22"/>
              </w:rPr>
            </w:pPr>
          </w:p>
          <w:p w14:paraId="35FD10DB" w14:textId="77777777" w:rsidR="00FE4921" w:rsidRDefault="00C622FD" w:rsidP="00C31636">
            <w:pPr>
              <w:pStyle w:val="TableRow"/>
              <w:ind w:left="0" w:right="0"/>
              <w:rPr>
                <w:sz w:val="22"/>
                <w:szCs w:val="22"/>
              </w:rPr>
            </w:pPr>
            <w:r w:rsidRPr="00C622FD">
              <w:rPr>
                <w:sz w:val="22"/>
                <w:szCs w:val="22"/>
              </w:rPr>
              <w:t xml:space="preserve">Train staff and develop and implement new approaches to improving attendance. </w:t>
            </w:r>
          </w:p>
          <w:p w14:paraId="6B7CBF61" w14:textId="77777777" w:rsidR="007E34B2" w:rsidRDefault="007E34B2" w:rsidP="00C31636">
            <w:pPr>
              <w:pStyle w:val="TableRow"/>
              <w:ind w:left="0" w:right="0"/>
              <w:rPr>
                <w:sz w:val="22"/>
                <w:szCs w:val="22"/>
              </w:rPr>
            </w:pPr>
          </w:p>
          <w:p w14:paraId="2A7D5538" w14:textId="16A2CBA3" w:rsidR="007E34B2" w:rsidRPr="00C622FD" w:rsidRDefault="004B08F7" w:rsidP="00C31636">
            <w:pPr>
              <w:pStyle w:val="TableRow"/>
              <w:ind w:left="0" w:right="0"/>
              <w:rPr>
                <w:sz w:val="22"/>
                <w:szCs w:val="22"/>
              </w:rPr>
            </w:pPr>
            <w:r>
              <w:rPr>
                <w:sz w:val="22"/>
                <w:szCs w:val="22"/>
              </w:rPr>
              <w:t xml:space="preserve">Targeted support and intervention conducted by the </w:t>
            </w:r>
            <w:r w:rsidR="00CA28D8">
              <w:rPr>
                <w:sz w:val="22"/>
                <w:szCs w:val="22"/>
              </w:rPr>
              <w:t>school’s</w:t>
            </w:r>
            <w:r>
              <w:rPr>
                <w:sz w:val="22"/>
                <w:szCs w:val="22"/>
              </w:rPr>
              <w:t xml:space="preserve"> </w:t>
            </w:r>
            <w:r w:rsidR="006D0416">
              <w:rPr>
                <w:sz w:val="22"/>
                <w:szCs w:val="22"/>
              </w:rPr>
              <w:t>learning mentor</w:t>
            </w:r>
            <w:r>
              <w:rPr>
                <w:sz w:val="22"/>
                <w:szCs w:val="22"/>
              </w:rPr>
              <w:t xml:space="preserve"> to </w:t>
            </w:r>
            <w:r w:rsidR="00CA28D8">
              <w:rPr>
                <w:sz w:val="22"/>
                <w:szCs w:val="22"/>
              </w:rPr>
              <w:t xml:space="preserve">fully engage key families in understanding the importance of regular attendance.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090F0" w14:textId="2E6AE597" w:rsidR="00847CD8" w:rsidRDefault="00B74AA6" w:rsidP="00C31636">
            <w:pPr>
              <w:pStyle w:val="TableRowCentered"/>
              <w:ind w:left="0" w:right="0"/>
              <w:jc w:val="left"/>
              <w:rPr>
                <w:sz w:val="22"/>
                <w:szCs w:val="22"/>
              </w:rPr>
            </w:pPr>
            <w:r>
              <w:rPr>
                <w:sz w:val="22"/>
                <w:szCs w:val="22"/>
              </w:rPr>
              <w:t xml:space="preserve">The DfE guidance has been </w:t>
            </w:r>
            <w:r w:rsidR="00DC38ED">
              <w:rPr>
                <w:sz w:val="22"/>
                <w:szCs w:val="22"/>
              </w:rPr>
              <w:t>informed</w:t>
            </w:r>
            <w:r>
              <w:rPr>
                <w:sz w:val="22"/>
                <w:szCs w:val="22"/>
              </w:rPr>
              <w:t xml:space="preserve"> by </w:t>
            </w:r>
            <w:r w:rsidR="00DC38ED">
              <w:rPr>
                <w:sz w:val="22"/>
                <w:szCs w:val="22"/>
              </w:rPr>
              <w:t>engagement</w:t>
            </w:r>
            <w:r>
              <w:rPr>
                <w:sz w:val="22"/>
                <w:szCs w:val="22"/>
              </w:rPr>
              <w:t xml:space="preserve"> with school</w:t>
            </w:r>
            <w:r w:rsidR="00DC38ED">
              <w:rPr>
                <w:sz w:val="22"/>
                <w:szCs w:val="22"/>
              </w:rPr>
              <w:t>s</w:t>
            </w:r>
            <w:r>
              <w:rPr>
                <w:sz w:val="22"/>
                <w:szCs w:val="22"/>
              </w:rPr>
              <w:t xml:space="preserve"> that have significantly reduced levels of absence and persi</w:t>
            </w:r>
            <w:r w:rsidR="00DC38ED">
              <w:rPr>
                <w:sz w:val="22"/>
                <w:szCs w:val="22"/>
              </w:rPr>
              <w:t xml:space="preserve">stent absence. </w:t>
            </w:r>
          </w:p>
          <w:p w14:paraId="2A7D5539" w14:textId="0A2FF8A4" w:rsidR="00E66558" w:rsidRPr="00C622FD" w:rsidRDefault="00847CD8" w:rsidP="00C31636">
            <w:pPr>
              <w:pStyle w:val="TableRowCentered"/>
              <w:ind w:left="0" w:right="0"/>
              <w:jc w:val="left"/>
              <w:rPr>
                <w:sz w:val="22"/>
                <w:szCs w:val="22"/>
              </w:rPr>
            </w:pPr>
            <w:hyperlink r:id="rId19" w:history="1">
              <w:r w:rsidRPr="00847CD8">
                <w:rPr>
                  <w:rStyle w:val="Hyperlink"/>
                  <w:sz w:val="22"/>
                  <w:szCs w:val="22"/>
                </w:rPr>
                <w:t>Working Together to Improve School Attendance</w:t>
              </w:r>
            </w:hyperlink>
            <w:r>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6ABAA04" w:rsidR="00E66558" w:rsidRPr="00C622FD" w:rsidRDefault="00D30CE3" w:rsidP="00C31636">
            <w:pPr>
              <w:pStyle w:val="TableRowCentered"/>
              <w:ind w:left="0" w:right="0"/>
              <w:jc w:val="left"/>
              <w:rPr>
                <w:sz w:val="22"/>
                <w:szCs w:val="22"/>
              </w:rPr>
            </w:pPr>
            <w:r>
              <w:rPr>
                <w:sz w:val="22"/>
                <w:szCs w:val="22"/>
              </w:rPr>
              <w:t>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09AF" w14:textId="77777777" w:rsidR="00E66558" w:rsidRDefault="002712A1" w:rsidP="00C31636">
            <w:pPr>
              <w:pStyle w:val="TableRow"/>
              <w:ind w:left="0" w:right="0"/>
              <w:rPr>
                <w:iCs/>
                <w:sz w:val="22"/>
                <w:szCs w:val="22"/>
              </w:rPr>
            </w:pPr>
            <w:r>
              <w:rPr>
                <w:iCs/>
                <w:sz w:val="22"/>
                <w:szCs w:val="22"/>
              </w:rPr>
              <w:t xml:space="preserve">Embed a culture </w:t>
            </w:r>
            <w:r w:rsidR="006810C1">
              <w:rPr>
                <w:iCs/>
                <w:sz w:val="22"/>
                <w:szCs w:val="22"/>
              </w:rPr>
              <w:t>that promotes SEMH and pupil wellbeing.</w:t>
            </w:r>
          </w:p>
          <w:p w14:paraId="0522AE41" w14:textId="77777777" w:rsidR="006810C1" w:rsidRDefault="006810C1" w:rsidP="00C31636">
            <w:pPr>
              <w:pStyle w:val="TableRow"/>
              <w:ind w:left="0" w:right="0"/>
              <w:rPr>
                <w:iCs/>
                <w:sz w:val="22"/>
                <w:szCs w:val="22"/>
              </w:rPr>
            </w:pPr>
          </w:p>
          <w:p w14:paraId="2A7D553C" w14:textId="6536A629" w:rsidR="006810C1" w:rsidRPr="00D23B84" w:rsidRDefault="00131F70" w:rsidP="00C31636">
            <w:pPr>
              <w:pStyle w:val="TableRow"/>
              <w:ind w:left="0" w:right="0"/>
              <w:rPr>
                <w:iCs/>
                <w:sz w:val="22"/>
                <w:szCs w:val="22"/>
              </w:rPr>
            </w:pPr>
            <w:r>
              <w:rPr>
                <w:iCs/>
                <w:sz w:val="22"/>
                <w:szCs w:val="22"/>
              </w:rPr>
              <w:t xml:space="preserve">Revise the Personal Development offer to incorporate the </w:t>
            </w:r>
            <w:r w:rsidR="001C1210">
              <w:rPr>
                <w:iCs/>
                <w:sz w:val="22"/>
                <w:szCs w:val="22"/>
              </w:rPr>
              <w:t>school’s</w:t>
            </w:r>
            <w:r>
              <w:rPr>
                <w:iCs/>
                <w:sz w:val="22"/>
                <w:szCs w:val="22"/>
              </w:rPr>
              <w:t xml:space="preserve"> vision, values</w:t>
            </w:r>
            <w:r w:rsidR="001C1210">
              <w:rPr>
                <w:iCs/>
                <w:sz w:val="22"/>
                <w:szCs w:val="22"/>
              </w:rPr>
              <w:t xml:space="preserve"> and wider offer. Ensure this is understood and promoted </w:t>
            </w:r>
            <w:r w:rsidR="00CB688A">
              <w:rPr>
                <w:iCs/>
                <w:sz w:val="22"/>
                <w:szCs w:val="22"/>
              </w:rPr>
              <w:t xml:space="preserve">by all stakeholders.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28F2F" w14:textId="77777777" w:rsidR="00E66558" w:rsidRDefault="00AB0730" w:rsidP="00C31636">
            <w:pPr>
              <w:pStyle w:val="TableRowCentered"/>
              <w:ind w:left="0" w:right="0"/>
              <w:jc w:val="left"/>
              <w:rPr>
                <w:iCs/>
                <w:sz w:val="22"/>
                <w:szCs w:val="22"/>
              </w:rPr>
            </w:pPr>
            <w:r>
              <w:rPr>
                <w:iCs/>
                <w:sz w:val="22"/>
                <w:szCs w:val="22"/>
              </w:rPr>
              <w:t xml:space="preserve">There is extensive evidence associating childhood social and emotional skills with improved outcomes at school and in later life. </w:t>
            </w:r>
          </w:p>
          <w:p w14:paraId="2A7D553D" w14:textId="76F1F37E" w:rsidR="00AB0730" w:rsidRPr="00D23B84" w:rsidRDefault="003B2338" w:rsidP="00C31636">
            <w:pPr>
              <w:pStyle w:val="TableRowCentered"/>
              <w:ind w:left="0" w:right="0"/>
              <w:jc w:val="left"/>
              <w:rPr>
                <w:iCs/>
                <w:sz w:val="22"/>
                <w:szCs w:val="22"/>
              </w:rPr>
            </w:pPr>
            <w:hyperlink r:id="rId20" w:history="1">
              <w:r w:rsidRPr="002B07BE">
                <w:rPr>
                  <w:rStyle w:val="Hyperlink"/>
                  <w:iCs/>
                  <w:sz w:val="22"/>
                  <w:szCs w:val="22"/>
                </w:rPr>
                <w:t>Improving Social and Emotional Learning in Primary Schools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3A749128" w:rsidR="00E66558" w:rsidRPr="00D23B84" w:rsidRDefault="00D30CE3" w:rsidP="00C31636">
            <w:pPr>
              <w:pStyle w:val="TableRowCentered"/>
              <w:ind w:left="0" w:right="0"/>
              <w:jc w:val="left"/>
              <w:rPr>
                <w:iCs/>
                <w:sz w:val="22"/>
                <w:szCs w:val="22"/>
              </w:rPr>
            </w:pPr>
            <w:r>
              <w:rPr>
                <w:iCs/>
                <w:sz w:val="22"/>
                <w:szCs w:val="22"/>
              </w:rPr>
              <w:t>4</w:t>
            </w:r>
          </w:p>
        </w:tc>
      </w:tr>
      <w:tr w:rsidR="002712A1" w14:paraId="2213777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6C350" w14:textId="77777777" w:rsidR="002712A1" w:rsidRDefault="002712A1" w:rsidP="00C31636">
            <w:pPr>
              <w:pStyle w:val="TableRow"/>
              <w:ind w:left="0" w:right="0"/>
              <w:rPr>
                <w:iCs/>
                <w:sz w:val="22"/>
                <w:szCs w:val="22"/>
              </w:rPr>
            </w:pPr>
            <w:r>
              <w:rPr>
                <w:iCs/>
                <w:sz w:val="22"/>
                <w:szCs w:val="22"/>
              </w:rPr>
              <w:t>I</w:t>
            </w:r>
            <w:r w:rsidR="006306FB">
              <w:rPr>
                <w:iCs/>
                <w:sz w:val="22"/>
                <w:szCs w:val="22"/>
              </w:rPr>
              <w:t xml:space="preserve">mplement </w:t>
            </w:r>
            <w:r w:rsidR="00AB0730">
              <w:rPr>
                <w:iCs/>
                <w:sz w:val="22"/>
                <w:szCs w:val="22"/>
              </w:rPr>
              <w:t>robust SEMH intervention</w:t>
            </w:r>
            <w:r w:rsidR="003B2338">
              <w:rPr>
                <w:iCs/>
                <w:sz w:val="22"/>
                <w:szCs w:val="22"/>
              </w:rPr>
              <w:t xml:space="preserve">s to best support </w:t>
            </w:r>
            <w:r w:rsidR="000B61D1">
              <w:rPr>
                <w:iCs/>
                <w:sz w:val="22"/>
                <w:szCs w:val="22"/>
              </w:rPr>
              <w:t xml:space="preserve">identified pupils. </w:t>
            </w:r>
          </w:p>
          <w:p w14:paraId="185BB047" w14:textId="77777777" w:rsidR="00A903AD" w:rsidRDefault="00A903AD" w:rsidP="00C31636">
            <w:pPr>
              <w:pStyle w:val="TableRow"/>
              <w:ind w:left="0" w:right="0"/>
              <w:rPr>
                <w:iCs/>
                <w:sz w:val="22"/>
                <w:szCs w:val="22"/>
              </w:rPr>
            </w:pPr>
          </w:p>
          <w:p w14:paraId="7DA00712" w14:textId="38DF24EF" w:rsidR="00A903AD" w:rsidRDefault="00A903AD" w:rsidP="00C31636">
            <w:pPr>
              <w:pStyle w:val="TableRow"/>
              <w:ind w:left="0" w:right="0"/>
              <w:rPr>
                <w:iCs/>
                <w:sz w:val="22"/>
                <w:szCs w:val="22"/>
              </w:rPr>
            </w:pPr>
            <w:r>
              <w:rPr>
                <w:iCs/>
                <w:sz w:val="22"/>
                <w:szCs w:val="22"/>
              </w:rPr>
              <w:t xml:space="preserve">Early identification </w:t>
            </w:r>
            <w:r w:rsidR="007C0FFC">
              <w:rPr>
                <w:iCs/>
                <w:sz w:val="22"/>
                <w:szCs w:val="22"/>
              </w:rPr>
              <w:t xml:space="preserve">of pupil need alongside parent partnership will be utilised to </w:t>
            </w:r>
            <w:r w:rsidR="00C754F9">
              <w:rPr>
                <w:iCs/>
                <w:sz w:val="22"/>
                <w:szCs w:val="22"/>
              </w:rPr>
              <w:t xml:space="preserve">identify key pupils in need. Regular assessments to evaluate impact and progress.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9DE7" w14:textId="77777777" w:rsidR="002712A1" w:rsidRDefault="00045FD1" w:rsidP="00C31636">
            <w:pPr>
              <w:pStyle w:val="TableRowCentered"/>
              <w:ind w:left="0" w:right="0"/>
              <w:jc w:val="left"/>
              <w:rPr>
                <w:iCs/>
                <w:sz w:val="22"/>
                <w:szCs w:val="22"/>
              </w:rPr>
            </w:pPr>
            <w:r>
              <w:rPr>
                <w:iCs/>
                <w:sz w:val="22"/>
                <w:szCs w:val="22"/>
              </w:rPr>
              <w:lastRenderedPageBreak/>
              <w:t xml:space="preserve">Implementing SEMH interventions is a crucial aspect of supporting pupils with SEMH needs. These interventions aim to provide tailored support to help pupils </w:t>
            </w:r>
            <w:r>
              <w:rPr>
                <w:iCs/>
                <w:sz w:val="22"/>
                <w:szCs w:val="22"/>
              </w:rPr>
              <w:lastRenderedPageBreak/>
              <w:t xml:space="preserve">cope with their emotions, build resilience and develop coping strategies. By implementing these interventions educators create a supportive environment that foster wellbeing and enables pupils to engage more fully in their learning. </w:t>
            </w:r>
          </w:p>
          <w:p w14:paraId="7F3C368B" w14:textId="64A07A41" w:rsidR="00045FD1" w:rsidRPr="00D23B84" w:rsidRDefault="00D1273B" w:rsidP="00C31636">
            <w:pPr>
              <w:pStyle w:val="TableRowCentered"/>
              <w:ind w:left="0" w:right="0"/>
              <w:jc w:val="left"/>
              <w:rPr>
                <w:iCs/>
                <w:sz w:val="22"/>
                <w:szCs w:val="22"/>
              </w:rPr>
            </w:pPr>
            <w:hyperlink r:id="rId21" w:history="1">
              <w:r w:rsidRPr="00D1273B">
                <w:rPr>
                  <w:rStyle w:val="Hyperlink"/>
                  <w:iCs/>
                  <w:sz w:val="22"/>
                  <w:szCs w:val="22"/>
                </w:rPr>
                <w:t>Understanding the Impact of SEMH Needs on Learning</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58030" w14:textId="5E4370F5" w:rsidR="002712A1" w:rsidRPr="00D23B84" w:rsidRDefault="00D30CE3" w:rsidP="00C31636">
            <w:pPr>
              <w:pStyle w:val="TableRowCentered"/>
              <w:ind w:left="0" w:right="0"/>
              <w:jc w:val="left"/>
              <w:rPr>
                <w:iCs/>
                <w:sz w:val="22"/>
                <w:szCs w:val="22"/>
              </w:rPr>
            </w:pPr>
            <w:r>
              <w:rPr>
                <w:iCs/>
                <w:sz w:val="22"/>
                <w:szCs w:val="22"/>
              </w:rPr>
              <w:lastRenderedPageBreak/>
              <w:t>4</w:t>
            </w:r>
          </w:p>
        </w:tc>
      </w:tr>
      <w:tr w:rsidR="00D23B84" w14:paraId="75E4CD6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4AB1" w14:textId="77777777" w:rsidR="006D748F" w:rsidRDefault="001F7C27" w:rsidP="00C31636">
            <w:pPr>
              <w:pStyle w:val="TableRow"/>
              <w:ind w:left="0" w:right="0"/>
              <w:rPr>
                <w:iCs/>
                <w:sz w:val="22"/>
                <w:szCs w:val="22"/>
              </w:rPr>
            </w:pPr>
            <w:r>
              <w:rPr>
                <w:iCs/>
                <w:sz w:val="22"/>
                <w:szCs w:val="22"/>
              </w:rPr>
              <w:t>Establish a</w:t>
            </w:r>
            <w:r w:rsidR="006D748F">
              <w:rPr>
                <w:iCs/>
                <w:sz w:val="22"/>
                <w:szCs w:val="22"/>
              </w:rPr>
              <w:t>n</w:t>
            </w:r>
            <w:r>
              <w:rPr>
                <w:iCs/>
                <w:sz w:val="22"/>
                <w:szCs w:val="22"/>
              </w:rPr>
              <w:t xml:space="preserve"> </w:t>
            </w:r>
            <w:r w:rsidR="006D748F">
              <w:rPr>
                <w:iCs/>
                <w:sz w:val="22"/>
                <w:szCs w:val="22"/>
              </w:rPr>
              <w:t>extra-curricular</w:t>
            </w:r>
            <w:r w:rsidR="003535AE">
              <w:rPr>
                <w:iCs/>
                <w:sz w:val="22"/>
                <w:szCs w:val="22"/>
              </w:rPr>
              <w:t xml:space="preserve"> offer that clear links with the </w:t>
            </w:r>
            <w:r w:rsidR="006D748F">
              <w:rPr>
                <w:iCs/>
                <w:sz w:val="22"/>
                <w:szCs w:val="22"/>
              </w:rPr>
              <w:t>school’s</w:t>
            </w:r>
            <w:r w:rsidR="003535AE">
              <w:rPr>
                <w:iCs/>
                <w:sz w:val="22"/>
                <w:szCs w:val="22"/>
              </w:rPr>
              <w:t xml:space="preserve"> personal development vision</w:t>
            </w:r>
            <w:r w:rsidR="006D748F">
              <w:rPr>
                <w:iCs/>
                <w:sz w:val="22"/>
                <w:szCs w:val="22"/>
              </w:rPr>
              <w:t>.</w:t>
            </w:r>
          </w:p>
          <w:p w14:paraId="0A258D01" w14:textId="77777777" w:rsidR="006D748F" w:rsidRDefault="006D748F" w:rsidP="00C31636">
            <w:pPr>
              <w:pStyle w:val="TableRow"/>
              <w:ind w:left="0" w:right="0"/>
              <w:rPr>
                <w:iCs/>
                <w:sz w:val="22"/>
                <w:szCs w:val="22"/>
              </w:rPr>
            </w:pPr>
          </w:p>
          <w:p w14:paraId="732F4CD8" w14:textId="77777777" w:rsidR="00D23B84" w:rsidRDefault="006D748F" w:rsidP="005F4D28">
            <w:pPr>
              <w:pStyle w:val="TableRow"/>
              <w:ind w:left="0" w:right="0"/>
              <w:rPr>
                <w:iCs/>
                <w:sz w:val="22"/>
                <w:szCs w:val="22"/>
              </w:rPr>
            </w:pPr>
            <w:r>
              <w:rPr>
                <w:iCs/>
                <w:sz w:val="22"/>
                <w:szCs w:val="22"/>
              </w:rPr>
              <w:t xml:space="preserve">Survey </w:t>
            </w:r>
            <w:r w:rsidR="003535AE">
              <w:rPr>
                <w:iCs/>
                <w:sz w:val="22"/>
                <w:szCs w:val="22"/>
              </w:rPr>
              <w:t xml:space="preserve">pupils and parent/carer </w:t>
            </w:r>
            <w:r>
              <w:rPr>
                <w:iCs/>
                <w:sz w:val="22"/>
                <w:szCs w:val="22"/>
              </w:rPr>
              <w:t xml:space="preserve">to gather their </w:t>
            </w:r>
            <w:r w:rsidR="003535AE">
              <w:rPr>
                <w:iCs/>
                <w:sz w:val="22"/>
                <w:szCs w:val="22"/>
              </w:rPr>
              <w:t>views</w:t>
            </w:r>
            <w:r>
              <w:rPr>
                <w:iCs/>
                <w:sz w:val="22"/>
                <w:szCs w:val="22"/>
              </w:rPr>
              <w:t xml:space="preserve"> on </w:t>
            </w:r>
            <w:r w:rsidR="003F189D">
              <w:rPr>
                <w:iCs/>
                <w:sz w:val="22"/>
                <w:szCs w:val="22"/>
              </w:rPr>
              <w:t xml:space="preserve">their interests and the impact of </w:t>
            </w:r>
            <w:r w:rsidR="00991A88">
              <w:rPr>
                <w:iCs/>
                <w:sz w:val="22"/>
                <w:szCs w:val="22"/>
              </w:rPr>
              <w:t xml:space="preserve">this offer. </w:t>
            </w:r>
          </w:p>
          <w:p w14:paraId="41621D72" w14:textId="77777777" w:rsidR="004318C9" w:rsidRDefault="004318C9" w:rsidP="005F4D28">
            <w:pPr>
              <w:pStyle w:val="TableRow"/>
              <w:ind w:left="0" w:right="0"/>
              <w:rPr>
                <w:iCs/>
                <w:sz w:val="22"/>
                <w:szCs w:val="22"/>
              </w:rPr>
            </w:pPr>
          </w:p>
          <w:p w14:paraId="571906EB" w14:textId="7199F453" w:rsidR="004318C9" w:rsidRPr="00D23B84" w:rsidRDefault="004318C9" w:rsidP="005F4D28">
            <w:pPr>
              <w:pStyle w:val="TableRow"/>
              <w:ind w:left="0" w:right="0"/>
              <w:rPr>
                <w:iCs/>
                <w:sz w:val="22"/>
                <w:szCs w:val="22"/>
              </w:rPr>
            </w:pPr>
            <w:r>
              <w:rPr>
                <w:iCs/>
                <w:sz w:val="22"/>
                <w:szCs w:val="22"/>
              </w:rPr>
              <w:t xml:space="preserve">Continually gather data of disadvantaged uptake of clubs every half term, so that pupils can be encouraged to raise participation levels of disadvantaged pupils.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00DA" w14:textId="3DE412EB" w:rsidR="00F91443" w:rsidRDefault="00F91443" w:rsidP="00C31636">
            <w:pPr>
              <w:pStyle w:val="TableRowCentered"/>
              <w:ind w:left="0" w:right="0"/>
              <w:jc w:val="left"/>
              <w:rPr>
                <w:iCs/>
                <w:sz w:val="22"/>
                <w:szCs w:val="22"/>
              </w:rPr>
            </w:pPr>
            <w:r w:rsidRPr="00F91443">
              <w:rPr>
                <w:iCs/>
                <w:sz w:val="22"/>
                <w:szCs w:val="22"/>
              </w:rPr>
              <w:t>Research suggests that disadvantaged pupils require access to a variety of extra-curricular activities to develop essential skills and social networks.</w:t>
            </w:r>
          </w:p>
          <w:p w14:paraId="762B4128" w14:textId="1B3EA1AC" w:rsidR="00D23B84" w:rsidRPr="00D23B84" w:rsidRDefault="004F3100" w:rsidP="00C31636">
            <w:pPr>
              <w:pStyle w:val="TableRowCentered"/>
              <w:ind w:left="0" w:right="0"/>
              <w:jc w:val="left"/>
              <w:rPr>
                <w:iCs/>
                <w:sz w:val="22"/>
                <w:szCs w:val="22"/>
              </w:rPr>
            </w:pPr>
            <w:hyperlink r:id="rId22" w:history="1">
              <w:r w:rsidRPr="00F91443">
                <w:rPr>
                  <w:rStyle w:val="Hyperlink"/>
                  <w:iCs/>
                  <w:sz w:val="22"/>
                  <w:szCs w:val="22"/>
                </w:rPr>
                <w:t>An Un</w:t>
              </w:r>
              <w:r w:rsidR="00FF3E52" w:rsidRPr="00F91443">
                <w:rPr>
                  <w:rStyle w:val="Hyperlink"/>
                  <w:iCs/>
                  <w:sz w:val="22"/>
                  <w:szCs w:val="22"/>
                </w:rPr>
                <w:t>equal Playing Field: Extra-curricular activities, soft skills and social mobility – GOV.UK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F88EC" w14:textId="5C514064" w:rsidR="00D23B84" w:rsidRPr="00D23B84" w:rsidRDefault="006D0416" w:rsidP="00C31636">
            <w:pPr>
              <w:pStyle w:val="TableRowCentered"/>
              <w:ind w:left="0" w:right="0"/>
              <w:jc w:val="left"/>
              <w:rPr>
                <w:iCs/>
                <w:sz w:val="22"/>
                <w:szCs w:val="22"/>
              </w:rPr>
            </w:pPr>
            <w:r>
              <w:rPr>
                <w:iCs/>
                <w:sz w:val="22"/>
                <w:szCs w:val="22"/>
              </w:rPr>
              <w:t>4</w:t>
            </w:r>
          </w:p>
        </w:tc>
      </w:tr>
      <w:tr w:rsidR="00D23B84" w14:paraId="57BCBDC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D9F77" w14:textId="0911A4D1" w:rsidR="008D27C4" w:rsidRDefault="00C437E4" w:rsidP="00C31636">
            <w:pPr>
              <w:pStyle w:val="TableRow"/>
              <w:ind w:left="0" w:right="0"/>
              <w:rPr>
                <w:iCs/>
                <w:sz w:val="22"/>
                <w:szCs w:val="22"/>
              </w:rPr>
            </w:pPr>
            <w:r>
              <w:rPr>
                <w:iCs/>
                <w:sz w:val="22"/>
                <w:szCs w:val="22"/>
              </w:rPr>
              <w:t>Careful</w:t>
            </w:r>
            <w:r w:rsidR="0013203B">
              <w:rPr>
                <w:iCs/>
                <w:sz w:val="22"/>
                <w:szCs w:val="22"/>
              </w:rPr>
              <w:t>ly plann</w:t>
            </w:r>
            <w:r w:rsidR="00D56A78">
              <w:rPr>
                <w:iCs/>
                <w:sz w:val="22"/>
                <w:szCs w:val="22"/>
              </w:rPr>
              <w:t>ed</w:t>
            </w:r>
            <w:r w:rsidR="0013203B">
              <w:rPr>
                <w:iCs/>
                <w:sz w:val="22"/>
                <w:szCs w:val="22"/>
              </w:rPr>
              <w:t xml:space="preserve"> projects and work completed by the </w:t>
            </w:r>
            <w:r w:rsidR="006D0416">
              <w:rPr>
                <w:iCs/>
                <w:sz w:val="22"/>
                <w:szCs w:val="22"/>
              </w:rPr>
              <w:t>learning mentor</w:t>
            </w:r>
            <w:r w:rsidR="00D56A78">
              <w:rPr>
                <w:iCs/>
                <w:sz w:val="22"/>
                <w:szCs w:val="22"/>
              </w:rPr>
              <w:t>,</w:t>
            </w:r>
            <w:r w:rsidR="0013203B">
              <w:rPr>
                <w:iCs/>
                <w:sz w:val="22"/>
                <w:szCs w:val="22"/>
              </w:rPr>
              <w:t xml:space="preserve"> to </w:t>
            </w:r>
            <w:r w:rsidR="00747C56">
              <w:rPr>
                <w:iCs/>
                <w:sz w:val="22"/>
                <w:szCs w:val="22"/>
              </w:rPr>
              <w:t>best support the development of</w:t>
            </w:r>
            <w:r w:rsidR="00D56A78">
              <w:rPr>
                <w:iCs/>
                <w:sz w:val="22"/>
                <w:szCs w:val="22"/>
              </w:rPr>
              <w:t xml:space="preserve"> the</w:t>
            </w:r>
            <w:r w:rsidR="00747C56">
              <w:rPr>
                <w:iCs/>
                <w:sz w:val="22"/>
                <w:szCs w:val="22"/>
              </w:rPr>
              <w:t xml:space="preserve"> social and emotional needs of key familie</w:t>
            </w:r>
            <w:r w:rsidR="007E34B2">
              <w:rPr>
                <w:iCs/>
                <w:sz w:val="22"/>
                <w:szCs w:val="22"/>
              </w:rPr>
              <w:t>s</w:t>
            </w:r>
            <w:r w:rsidR="00747C56">
              <w:rPr>
                <w:iCs/>
                <w:sz w:val="22"/>
                <w:szCs w:val="22"/>
              </w:rPr>
              <w:t>.</w:t>
            </w:r>
          </w:p>
          <w:p w14:paraId="5CDF678B" w14:textId="77777777" w:rsidR="008D27C4" w:rsidRDefault="008D27C4" w:rsidP="00C31636">
            <w:pPr>
              <w:pStyle w:val="TableRow"/>
              <w:ind w:left="0" w:right="0"/>
              <w:rPr>
                <w:iCs/>
                <w:sz w:val="22"/>
                <w:szCs w:val="22"/>
              </w:rPr>
            </w:pPr>
          </w:p>
          <w:p w14:paraId="24229E26" w14:textId="7369A82B" w:rsidR="00D23B84" w:rsidRPr="00D23B84" w:rsidRDefault="008D27C4" w:rsidP="00C31636">
            <w:pPr>
              <w:pStyle w:val="TableRow"/>
              <w:ind w:left="0" w:right="0"/>
              <w:rPr>
                <w:iCs/>
                <w:sz w:val="22"/>
                <w:szCs w:val="22"/>
              </w:rPr>
            </w:pPr>
            <w:r>
              <w:rPr>
                <w:iCs/>
                <w:sz w:val="22"/>
                <w:szCs w:val="22"/>
              </w:rPr>
              <w:t xml:space="preserve">Review the current pastoral offer to enhance positive home-school relationships.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0250" w14:textId="77777777" w:rsidR="00D23B84" w:rsidRDefault="00CA28D8" w:rsidP="00C31636">
            <w:pPr>
              <w:pStyle w:val="TableRowCentered"/>
              <w:ind w:left="0" w:right="0"/>
              <w:jc w:val="left"/>
              <w:rPr>
                <w:iCs/>
                <w:sz w:val="22"/>
                <w:szCs w:val="22"/>
              </w:rPr>
            </w:pPr>
            <w:r>
              <w:rPr>
                <w:iCs/>
                <w:sz w:val="22"/>
                <w:szCs w:val="22"/>
              </w:rPr>
              <w:t xml:space="preserve">More intensive approaches, which target particular families or outcomes, are associated with larger learning gains. </w:t>
            </w:r>
          </w:p>
          <w:p w14:paraId="5F19D552" w14:textId="4FF63472" w:rsidR="00163F8D" w:rsidRPr="00D23B84" w:rsidRDefault="00163F8D" w:rsidP="00C31636">
            <w:pPr>
              <w:pStyle w:val="TableRowCentered"/>
              <w:ind w:left="0" w:right="0"/>
              <w:jc w:val="left"/>
              <w:rPr>
                <w:iCs/>
                <w:sz w:val="22"/>
                <w:szCs w:val="22"/>
              </w:rPr>
            </w:pPr>
            <w:hyperlink r:id="rId23" w:history="1">
              <w:r w:rsidRPr="006F259B">
                <w:rPr>
                  <w:rStyle w:val="Hyperlink"/>
                  <w:iCs/>
                  <w:sz w:val="22"/>
                  <w:szCs w:val="22"/>
                </w:rPr>
                <w:t>Working with Parents to Support Children’s Learning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897F" w14:textId="342030EB" w:rsidR="00D23B84" w:rsidRPr="00D23B84" w:rsidRDefault="006D0416" w:rsidP="00C31636">
            <w:pPr>
              <w:pStyle w:val="TableRowCentered"/>
              <w:ind w:left="0" w:right="0"/>
              <w:jc w:val="left"/>
              <w:rPr>
                <w:iCs/>
                <w:sz w:val="22"/>
                <w:szCs w:val="22"/>
              </w:rPr>
            </w:pPr>
            <w:r>
              <w:rPr>
                <w:iCs/>
                <w:sz w:val="22"/>
                <w:szCs w:val="22"/>
              </w:rPr>
              <w:t>4</w:t>
            </w: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C8B2461" w:rsidR="00E66558" w:rsidRDefault="00C86445" w:rsidP="00F54FCB">
            <w:pPr>
              <w:pStyle w:val="TableRow"/>
              <w:ind w:left="0" w:right="0"/>
            </w:pPr>
            <w:r>
              <w:t>Read, Write Inc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4A30958B" w:rsidR="00E66558" w:rsidRDefault="00046C4E" w:rsidP="00F54FCB">
            <w:pPr>
              <w:pStyle w:val="TableRowCentered"/>
              <w:ind w:left="0" w:right="0"/>
              <w:jc w:val="left"/>
            </w:pPr>
            <w:r>
              <w:t>Ruth Miskin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49C936A" w:rsidR="00E66558" w:rsidRDefault="00C86445" w:rsidP="00F54FCB">
            <w:pPr>
              <w:pStyle w:val="TableRow"/>
              <w:ind w:left="0" w:right="0"/>
            </w:pPr>
            <w:r>
              <w:t>T</w:t>
            </w:r>
            <w:r w:rsidR="00046C4E">
              <w:t>imes Tables Rock 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BC18EBB" w:rsidR="00E66558" w:rsidRDefault="00E318A2" w:rsidP="00F54FCB">
            <w:pPr>
              <w:pStyle w:val="TableRowCentered"/>
              <w:ind w:left="0" w:right="0"/>
              <w:jc w:val="left"/>
            </w:pPr>
            <w:r>
              <w:t>Maths Circle</w:t>
            </w:r>
          </w:p>
        </w:tc>
      </w:tr>
      <w:tr w:rsidR="00046C4E" w14:paraId="6D5C976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18E4" w14:textId="15303AE8" w:rsidR="00046C4E" w:rsidRDefault="00046C4E" w:rsidP="00F54FCB">
            <w:pPr>
              <w:pStyle w:val="TableRow"/>
              <w:ind w:left="0" w:right="0"/>
            </w:pPr>
            <w:r>
              <w:t>NumBots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ADD5" w14:textId="0C83D809" w:rsidR="00046C4E" w:rsidRDefault="00E318A2" w:rsidP="00F54FCB">
            <w:pPr>
              <w:pStyle w:val="TableRowCentered"/>
              <w:ind w:left="0" w:right="0"/>
              <w:jc w:val="left"/>
            </w:pPr>
            <w:r>
              <w:t>Maths Circle</w:t>
            </w:r>
          </w:p>
        </w:tc>
      </w:tr>
      <w:tr w:rsidR="00046C4E" w14:paraId="350D7B5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B9A0B" w14:textId="574C3D21" w:rsidR="00046C4E" w:rsidRDefault="00046C4E" w:rsidP="00F54FCB">
            <w:pPr>
              <w:pStyle w:val="TableRow"/>
              <w:ind w:left="0" w:right="0"/>
            </w:pPr>
            <w:r>
              <w:t>Wellcom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17E0C" w14:textId="31C2DBB1" w:rsidR="00046C4E" w:rsidRDefault="00E318A2" w:rsidP="00F54FCB">
            <w:pPr>
              <w:pStyle w:val="TableRowCentered"/>
              <w:ind w:left="0" w:right="0"/>
              <w:jc w:val="left"/>
            </w:pPr>
            <w:r>
              <w:t>Wellcom</w:t>
            </w:r>
          </w:p>
        </w:tc>
      </w:tr>
      <w:tr w:rsidR="00046C4E" w14:paraId="441D649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1A034" w14:textId="0ED4C8E6" w:rsidR="00046C4E" w:rsidRDefault="00046C4E" w:rsidP="00F54FCB">
            <w:pPr>
              <w:pStyle w:val="TableRow"/>
              <w:ind w:left="0" w:right="0"/>
            </w:pPr>
            <w:r>
              <w:t>YARC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B912E" w14:textId="77D3DE27" w:rsidR="00046C4E" w:rsidRDefault="00330114" w:rsidP="00F54FCB">
            <w:pPr>
              <w:pStyle w:val="TableRowCentered"/>
              <w:ind w:left="0" w:right="0"/>
              <w:jc w:val="left"/>
            </w:pPr>
            <w:r>
              <w:t>GL</w:t>
            </w:r>
            <w:r w:rsidR="00E318A2">
              <w:t xml:space="preserve"> Assessment </w:t>
            </w:r>
          </w:p>
        </w:tc>
      </w:tr>
      <w:bookmarkEnd w:id="14"/>
      <w:bookmarkEnd w:id="15"/>
      <w:bookmarkEnd w:id="16"/>
    </w:tbl>
    <w:p w14:paraId="2A7D5564" w14:textId="77777777" w:rsidR="00E66558" w:rsidRDefault="00E66558"/>
    <w:sectPr w:rsidR="00E66558">
      <w:headerReference w:type="even" r:id="rId24"/>
      <w:headerReference w:type="default" r:id="rId25"/>
      <w:footerReference w:type="even" r:id="rId26"/>
      <w:footerReference w:type="default" r:id="rId27"/>
      <w:headerReference w:type="first" r:id="rId28"/>
      <w:footerReference w:type="firs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823C" w14:textId="77777777" w:rsidR="00BE23A3" w:rsidRDefault="00BE23A3">
      <w:pPr>
        <w:spacing w:after="0" w:line="240" w:lineRule="auto"/>
      </w:pPr>
      <w:r>
        <w:separator/>
      </w:r>
    </w:p>
  </w:endnote>
  <w:endnote w:type="continuationSeparator" w:id="0">
    <w:p w14:paraId="6336617B" w14:textId="77777777" w:rsidR="00BE23A3" w:rsidRDefault="00BE23A3">
      <w:pPr>
        <w:spacing w:after="0" w:line="240" w:lineRule="auto"/>
      </w:pPr>
      <w:r>
        <w:continuationSeparator/>
      </w:r>
    </w:p>
  </w:endnote>
  <w:endnote w:type="continuationNotice" w:id="1">
    <w:p w14:paraId="09D299ED" w14:textId="77777777" w:rsidR="00BE23A3" w:rsidRDefault="00BE2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96D3" w14:textId="77777777" w:rsidR="001E268D" w:rsidRDefault="001E2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15E8" w14:textId="77777777" w:rsidR="001E268D" w:rsidRDefault="001E2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D934" w14:textId="77777777" w:rsidR="00BE23A3" w:rsidRDefault="00BE23A3">
      <w:pPr>
        <w:spacing w:after="0" w:line="240" w:lineRule="auto"/>
      </w:pPr>
      <w:r>
        <w:separator/>
      </w:r>
    </w:p>
  </w:footnote>
  <w:footnote w:type="continuationSeparator" w:id="0">
    <w:p w14:paraId="16723332" w14:textId="77777777" w:rsidR="00BE23A3" w:rsidRDefault="00BE23A3">
      <w:pPr>
        <w:spacing w:after="0" w:line="240" w:lineRule="auto"/>
      </w:pPr>
      <w:r>
        <w:continuationSeparator/>
      </w:r>
    </w:p>
  </w:footnote>
  <w:footnote w:type="continuationNotice" w:id="1">
    <w:p w14:paraId="6DB33601" w14:textId="77777777" w:rsidR="00BE23A3" w:rsidRDefault="00BE2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2DD0" w14:textId="77777777" w:rsidR="001E268D" w:rsidRDefault="001E2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169359"/>
      <w:docPartObj>
        <w:docPartGallery w:val="Watermarks"/>
        <w:docPartUnique/>
      </w:docPartObj>
    </w:sdtPr>
    <w:sdtContent>
      <w:p w14:paraId="2A7D54BC" w14:textId="0554344C" w:rsidR="00C373EA" w:rsidRDefault="00000000">
        <w:pPr>
          <w:pStyle w:val="Header"/>
        </w:pPr>
        <w:r>
          <w:rPr>
            <w:noProof/>
          </w:rPr>
          <w:pict w14:anchorId="1751C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7E31" w14:textId="77777777" w:rsidR="001E268D" w:rsidRDefault="001E2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2FC"/>
    <w:multiLevelType w:val="hybridMultilevel"/>
    <w:tmpl w:val="143E0EEE"/>
    <w:lvl w:ilvl="0" w:tplc="E180838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C2C5AA4"/>
    <w:multiLevelType w:val="multilevel"/>
    <w:tmpl w:val="FAB0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7D93EA9"/>
    <w:multiLevelType w:val="multilevel"/>
    <w:tmpl w:val="2700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C1A32"/>
    <w:multiLevelType w:val="multilevel"/>
    <w:tmpl w:val="4BF4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9471CF9"/>
    <w:multiLevelType w:val="hybridMultilevel"/>
    <w:tmpl w:val="80802FC4"/>
    <w:lvl w:ilvl="0" w:tplc="D64808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9"/>
  </w:num>
  <w:num w:numId="5" w16cid:durableId="857932188">
    <w:abstractNumId w:val="1"/>
  </w:num>
  <w:num w:numId="6" w16cid:durableId="798501009">
    <w:abstractNumId w:val="11"/>
  </w:num>
  <w:num w:numId="7" w16cid:durableId="1210847263">
    <w:abstractNumId w:val="16"/>
  </w:num>
  <w:num w:numId="8" w16cid:durableId="982348153">
    <w:abstractNumId w:val="21"/>
  </w:num>
  <w:num w:numId="9" w16cid:durableId="1529290868">
    <w:abstractNumId w:val="19"/>
  </w:num>
  <w:num w:numId="10" w16cid:durableId="1171066271">
    <w:abstractNumId w:val="18"/>
  </w:num>
  <w:num w:numId="11" w16cid:durableId="1453552857">
    <w:abstractNumId w:val="5"/>
  </w:num>
  <w:num w:numId="12" w16cid:durableId="1812097430">
    <w:abstractNumId w:val="20"/>
  </w:num>
  <w:num w:numId="13" w16cid:durableId="42288650">
    <w:abstractNumId w:val="15"/>
  </w:num>
  <w:num w:numId="14" w16cid:durableId="1721712531">
    <w:abstractNumId w:val="12"/>
  </w:num>
  <w:num w:numId="15" w16cid:durableId="1235432793">
    <w:abstractNumId w:val="3"/>
  </w:num>
  <w:num w:numId="16" w16cid:durableId="884678859">
    <w:abstractNumId w:val="2"/>
  </w:num>
  <w:num w:numId="17" w16cid:durableId="826165421">
    <w:abstractNumId w:val="13"/>
  </w:num>
  <w:num w:numId="18" w16cid:durableId="1928222127">
    <w:abstractNumId w:val="0"/>
  </w:num>
  <w:num w:numId="19" w16cid:durableId="1687780719">
    <w:abstractNumId w:val="17"/>
  </w:num>
  <w:num w:numId="20" w16cid:durableId="789591048">
    <w:abstractNumId w:val="8"/>
  </w:num>
  <w:num w:numId="21" w16cid:durableId="1954357075">
    <w:abstractNumId w:val="10"/>
  </w:num>
  <w:num w:numId="22" w16cid:durableId="158469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5FD1"/>
    <w:rsid w:val="000463AE"/>
    <w:rsid w:val="00046C4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B61D1"/>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31F70"/>
    <w:rsid w:val="0013203B"/>
    <w:rsid w:val="00140646"/>
    <w:rsid w:val="0014409B"/>
    <w:rsid w:val="001459AD"/>
    <w:rsid w:val="00147A4B"/>
    <w:rsid w:val="00152554"/>
    <w:rsid w:val="00152F8F"/>
    <w:rsid w:val="00153753"/>
    <w:rsid w:val="001555FF"/>
    <w:rsid w:val="00155944"/>
    <w:rsid w:val="001559D7"/>
    <w:rsid w:val="00157CA6"/>
    <w:rsid w:val="00163F8D"/>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210"/>
    <w:rsid w:val="001C1C51"/>
    <w:rsid w:val="001D4FC9"/>
    <w:rsid w:val="001E0ECA"/>
    <w:rsid w:val="001E206F"/>
    <w:rsid w:val="001E268D"/>
    <w:rsid w:val="001E5750"/>
    <w:rsid w:val="001E66BA"/>
    <w:rsid w:val="001E7739"/>
    <w:rsid w:val="001F3DB4"/>
    <w:rsid w:val="001F7564"/>
    <w:rsid w:val="001F7C27"/>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12A1"/>
    <w:rsid w:val="00276BE9"/>
    <w:rsid w:val="00276FBA"/>
    <w:rsid w:val="00277665"/>
    <w:rsid w:val="002837AE"/>
    <w:rsid w:val="00287FA8"/>
    <w:rsid w:val="002920F4"/>
    <w:rsid w:val="002940F3"/>
    <w:rsid w:val="00295842"/>
    <w:rsid w:val="002A0723"/>
    <w:rsid w:val="002A77CF"/>
    <w:rsid w:val="002B07BE"/>
    <w:rsid w:val="002B3574"/>
    <w:rsid w:val="002B6B74"/>
    <w:rsid w:val="002C6AE7"/>
    <w:rsid w:val="002D2D4B"/>
    <w:rsid w:val="002D3805"/>
    <w:rsid w:val="002D3EF1"/>
    <w:rsid w:val="002D534D"/>
    <w:rsid w:val="002E66AE"/>
    <w:rsid w:val="002E7763"/>
    <w:rsid w:val="002F4C6F"/>
    <w:rsid w:val="002F5011"/>
    <w:rsid w:val="002F5842"/>
    <w:rsid w:val="002F7183"/>
    <w:rsid w:val="002F7847"/>
    <w:rsid w:val="00306CB7"/>
    <w:rsid w:val="00307ABF"/>
    <w:rsid w:val="0031020C"/>
    <w:rsid w:val="003111F5"/>
    <w:rsid w:val="00317664"/>
    <w:rsid w:val="00330114"/>
    <w:rsid w:val="00336200"/>
    <w:rsid w:val="00337418"/>
    <w:rsid w:val="00351D83"/>
    <w:rsid w:val="00352197"/>
    <w:rsid w:val="003535AE"/>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0D89"/>
    <w:rsid w:val="003B14C1"/>
    <w:rsid w:val="003B2338"/>
    <w:rsid w:val="003B2884"/>
    <w:rsid w:val="003B588A"/>
    <w:rsid w:val="003B621D"/>
    <w:rsid w:val="003C4388"/>
    <w:rsid w:val="003C4C27"/>
    <w:rsid w:val="003C7F7B"/>
    <w:rsid w:val="003D0CD6"/>
    <w:rsid w:val="003D2A17"/>
    <w:rsid w:val="003D2EAA"/>
    <w:rsid w:val="003D448C"/>
    <w:rsid w:val="003E054C"/>
    <w:rsid w:val="003E1EC5"/>
    <w:rsid w:val="003E27A0"/>
    <w:rsid w:val="003E33E8"/>
    <w:rsid w:val="003E3872"/>
    <w:rsid w:val="003F189D"/>
    <w:rsid w:val="003F437D"/>
    <w:rsid w:val="004044AA"/>
    <w:rsid w:val="004044C8"/>
    <w:rsid w:val="00404F3F"/>
    <w:rsid w:val="00410B5D"/>
    <w:rsid w:val="00413BEC"/>
    <w:rsid w:val="0042265E"/>
    <w:rsid w:val="00424ED7"/>
    <w:rsid w:val="00425258"/>
    <w:rsid w:val="00426217"/>
    <w:rsid w:val="004318C9"/>
    <w:rsid w:val="00431A80"/>
    <w:rsid w:val="00433641"/>
    <w:rsid w:val="00435A89"/>
    <w:rsid w:val="00452267"/>
    <w:rsid w:val="00453307"/>
    <w:rsid w:val="00454EE1"/>
    <w:rsid w:val="00455A02"/>
    <w:rsid w:val="00457E36"/>
    <w:rsid w:val="00460BD3"/>
    <w:rsid w:val="00462F8F"/>
    <w:rsid w:val="004708F2"/>
    <w:rsid w:val="00472114"/>
    <w:rsid w:val="004724DE"/>
    <w:rsid w:val="004770FE"/>
    <w:rsid w:val="0048157F"/>
    <w:rsid w:val="00481D56"/>
    <w:rsid w:val="00490408"/>
    <w:rsid w:val="004A4C45"/>
    <w:rsid w:val="004A55C4"/>
    <w:rsid w:val="004B0485"/>
    <w:rsid w:val="004B08F7"/>
    <w:rsid w:val="004B0ED7"/>
    <w:rsid w:val="004B1F58"/>
    <w:rsid w:val="004B428E"/>
    <w:rsid w:val="004B4D0A"/>
    <w:rsid w:val="004B4D37"/>
    <w:rsid w:val="004C42F0"/>
    <w:rsid w:val="004D50C8"/>
    <w:rsid w:val="004D6537"/>
    <w:rsid w:val="004D6B72"/>
    <w:rsid w:val="004E1D73"/>
    <w:rsid w:val="004E5450"/>
    <w:rsid w:val="004E57C3"/>
    <w:rsid w:val="004E72DD"/>
    <w:rsid w:val="004F22CD"/>
    <w:rsid w:val="004F3100"/>
    <w:rsid w:val="005014D3"/>
    <w:rsid w:val="005025FB"/>
    <w:rsid w:val="00503462"/>
    <w:rsid w:val="0051286E"/>
    <w:rsid w:val="00516021"/>
    <w:rsid w:val="00516457"/>
    <w:rsid w:val="00516641"/>
    <w:rsid w:val="0051729F"/>
    <w:rsid w:val="005201C6"/>
    <w:rsid w:val="00520A0C"/>
    <w:rsid w:val="00530E37"/>
    <w:rsid w:val="00530F42"/>
    <w:rsid w:val="005346BC"/>
    <w:rsid w:val="00535946"/>
    <w:rsid w:val="005452CF"/>
    <w:rsid w:val="005464A1"/>
    <w:rsid w:val="00546F12"/>
    <w:rsid w:val="0055167E"/>
    <w:rsid w:val="00551E21"/>
    <w:rsid w:val="0055339C"/>
    <w:rsid w:val="005542CC"/>
    <w:rsid w:val="00560424"/>
    <w:rsid w:val="00562B3C"/>
    <w:rsid w:val="005646FA"/>
    <w:rsid w:val="00564E40"/>
    <w:rsid w:val="005702D2"/>
    <w:rsid w:val="00573E1D"/>
    <w:rsid w:val="005750E2"/>
    <w:rsid w:val="0058313F"/>
    <w:rsid w:val="0058391C"/>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E76C3"/>
    <w:rsid w:val="005F07EF"/>
    <w:rsid w:val="005F16B6"/>
    <w:rsid w:val="005F2600"/>
    <w:rsid w:val="005F304B"/>
    <w:rsid w:val="005F4D28"/>
    <w:rsid w:val="005F5224"/>
    <w:rsid w:val="005F7AA1"/>
    <w:rsid w:val="00600B2E"/>
    <w:rsid w:val="00601122"/>
    <w:rsid w:val="00606521"/>
    <w:rsid w:val="00607CEB"/>
    <w:rsid w:val="00613299"/>
    <w:rsid w:val="0061762D"/>
    <w:rsid w:val="006306FB"/>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56D92"/>
    <w:rsid w:val="00661FDB"/>
    <w:rsid w:val="006652DD"/>
    <w:rsid w:val="006671BF"/>
    <w:rsid w:val="00671AEB"/>
    <w:rsid w:val="00672A7D"/>
    <w:rsid w:val="00673FD3"/>
    <w:rsid w:val="006810C1"/>
    <w:rsid w:val="00681416"/>
    <w:rsid w:val="006911EA"/>
    <w:rsid w:val="006A06F5"/>
    <w:rsid w:val="006A0ED2"/>
    <w:rsid w:val="006B0A73"/>
    <w:rsid w:val="006B5A6B"/>
    <w:rsid w:val="006C0F82"/>
    <w:rsid w:val="006C196D"/>
    <w:rsid w:val="006C25E8"/>
    <w:rsid w:val="006C332E"/>
    <w:rsid w:val="006C5901"/>
    <w:rsid w:val="006D00F1"/>
    <w:rsid w:val="006D0416"/>
    <w:rsid w:val="006D377A"/>
    <w:rsid w:val="006D4222"/>
    <w:rsid w:val="006D6372"/>
    <w:rsid w:val="006D68C4"/>
    <w:rsid w:val="006D6C85"/>
    <w:rsid w:val="006D6E5C"/>
    <w:rsid w:val="006D748F"/>
    <w:rsid w:val="006E02AF"/>
    <w:rsid w:val="006E0786"/>
    <w:rsid w:val="006E6B4A"/>
    <w:rsid w:val="006E7449"/>
    <w:rsid w:val="006E7FB1"/>
    <w:rsid w:val="006F259B"/>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3713"/>
    <w:rsid w:val="0073481D"/>
    <w:rsid w:val="00741B9E"/>
    <w:rsid w:val="00742D42"/>
    <w:rsid w:val="00743DAC"/>
    <w:rsid w:val="007455B3"/>
    <w:rsid w:val="00747C56"/>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0FFC"/>
    <w:rsid w:val="007C18F7"/>
    <w:rsid w:val="007C22AE"/>
    <w:rsid w:val="007C2F04"/>
    <w:rsid w:val="007E34B2"/>
    <w:rsid w:val="007E6E8A"/>
    <w:rsid w:val="007F06E5"/>
    <w:rsid w:val="007F41A9"/>
    <w:rsid w:val="007F5B8B"/>
    <w:rsid w:val="00805BC0"/>
    <w:rsid w:val="0081240B"/>
    <w:rsid w:val="00814FB9"/>
    <w:rsid w:val="00817E9A"/>
    <w:rsid w:val="008232FE"/>
    <w:rsid w:val="00827786"/>
    <w:rsid w:val="00827BDA"/>
    <w:rsid w:val="00830D57"/>
    <w:rsid w:val="00831F00"/>
    <w:rsid w:val="00847CD8"/>
    <w:rsid w:val="00850CA0"/>
    <w:rsid w:val="00852A2F"/>
    <w:rsid w:val="008608EE"/>
    <w:rsid w:val="00860B07"/>
    <w:rsid w:val="008616F6"/>
    <w:rsid w:val="0086259C"/>
    <w:rsid w:val="008674ED"/>
    <w:rsid w:val="0087074C"/>
    <w:rsid w:val="00872C0C"/>
    <w:rsid w:val="00873B30"/>
    <w:rsid w:val="00874913"/>
    <w:rsid w:val="00883F24"/>
    <w:rsid w:val="0088464C"/>
    <w:rsid w:val="00886A6D"/>
    <w:rsid w:val="008954A1"/>
    <w:rsid w:val="00897E1F"/>
    <w:rsid w:val="008A3E8E"/>
    <w:rsid w:val="008B2CB4"/>
    <w:rsid w:val="008B3D82"/>
    <w:rsid w:val="008B5503"/>
    <w:rsid w:val="008B6404"/>
    <w:rsid w:val="008C2C21"/>
    <w:rsid w:val="008C6967"/>
    <w:rsid w:val="008C7DD3"/>
    <w:rsid w:val="008D054C"/>
    <w:rsid w:val="008D27C4"/>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447E3"/>
    <w:rsid w:val="0095146F"/>
    <w:rsid w:val="00951711"/>
    <w:rsid w:val="009539E3"/>
    <w:rsid w:val="00954083"/>
    <w:rsid w:val="00954A5E"/>
    <w:rsid w:val="009551B2"/>
    <w:rsid w:val="00956EC5"/>
    <w:rsid w:val="0096022C"/>
    <w:rsid w:val="009619B1"/>
    <w:rsid w:val="00964625"/>
    <w:rsid w:val="00965B57"/>
    <w:rsid w:val="00980937"/>
    <w:rsid w:val="00981C1D"/>
    <w:rsid w:val="0099109C"/>
    <w:rsid w:val="00991A88"/>
    <w:rsid w:val="009936DB"/>
    <w:rsid w:val="00993CFC"/>
    <w:rsid w:val="009A18DD"/>
    <w:rsid w:val="009A1DC2"/>
    <w:rsid w:val="009A5EEA"/>
    <w:rsid w:val="009B07E2"/>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1781"/>
    <w:rsid w:val="00A44FBB"/>
    <w:rsid w:val="00A50104"/>
    <w:rsid w:val="00A522E0"/>
    <w:rsid w:val="00A52823"/>
    <w:rsid w:val="00A60E28"/>
    <w:rsid w:val="00A62A11"/>
    <w:rsid w:val="00A63579"/>
    <w:rsid w:val="00A638AC"/>
    <w:rsid w:val="00A64013"/>
    <w:rsid w:val="00A64475"/>
    <w:rsid w:val="00A70F3F"/>
    <w:rsid w:val="00A727E5"/>
    <w:rsid w:val="00A748B5"/>
    <w:rsid w:val="00A77083"/>
    <w:rsid w:val="00A7797A"/>
    <w:rsid w:val="00A80A32"/>
    <w:rsid w:val="00A81948"/>
    <w:rsid w:val="00A822E9"/>
    <w:rsid w:val="00A82A98"/>
    <w:rsid w:val="00A82D16"/>
    <w:rsid w:val="00A852F2"/>
    <w:rsid w:val="00A8712A"/>
    <w:rsid w:val="00A903AD"/>
    <w:rsid w:val="00A95F75"/>
    <w:rsid w:val="00A968DA"/>
    <w:rsid w:val="00A96B83"/>
    <w:rsid w:val="00AA2DA4"/>
    <w:rsid w:val="00AA355B"/>
    <w:rsid w:val="00AA42E5"/>
    <w:rsid w:val="00AB0730"/>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AA6"/>
    <w:rsid w:val="00B74D4E"/>
    <w:rsid w:val="00B756CB"/>
    <w:rsid w:val="00B80219"/>
    <w:rsid w:val="00B87184"/>
    <w:rsid w:val="00B91453"/>
    <w:rsid w:val="00BA19A5"/>
    <w:rsid w:val="00BA6108"/>
    <w:rsid w:val="00BB2907"/>
    <w:rsid w:val="00BB6902"/>
    <w:rsid w:val="00BC078B"/>
    <w:rsid w:val="00BC3A7D"/>
    <w:rsid w:val="00BC67F6"/>
    <w:rsid w:val="00BD2004"/>
    <w:rsid w:val="00BD4B12"/>
    <w:rsid w:val="00BD700D"/>
    <w:rsid w:val="00BE00CE"/>
    <w:rsid w:val="00BE23A3"/>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034C"/>
    <w:rsid w:val="00C437E4"/>
    <w:rsid w:val="00C43CA3"/>
    <w:rsid w:val="00C43D9D"/>
    <w:rsid w:val="00C43EA4"/>
    <w:rsid w:val="00C46FD8"/>
    <w:rsid w:val="00C50040"/>
    <w:rsid w:val="00C508A9"/>
    <w:rsid w:val="00C52DFF"/>
    <w:rsid w:val="00C574E1"/>
    <w:rsid w:val="00C60F59"/>
    <w:rsid w:val="00C621C1"/>
    <w:rsid w:val="00C622FD"/>
    <w:rsid w:val="00C62989"/>
    <w:rsid w:val="00C65CBB"/>
    <w:rsid w:val="00C74684"/>
    <w:rsid w:val="00C754F9"/>
    <w:rsid w:val="00C762A7"/>
    <w:rsid w:val="00C77FEF"/>
    <w:rsid w:val="00C80F37"/>
    <w:rsid w:val="00C83659"/>
    <w:rsid w:val="00C839C1"/>
    <w:rsid w:val="00C86445"/>
    <w:rsid w:val="00C97A7F"/>
    <w:rsid w:val="00CA28D8"/>
    <w:rsid w:val="00CA4421"/>
    <w:rsid w:val="00CA5363"/>
    <w:rsid w:val="00CA7D07"/>
    <w:rsid w:val="00CB24A4"/>
    <w:rsid w:val="00CB5B17"/>
    <w:rsid w:val="00CB688A"/>
    <w:rsid w:val="00CB6AA0"/>
    <w:rsid w:val="00CC4443"/>
    <w:rsid w:val="00CC5CAF"/>
    <w:rsid w:val="00CD0DA5"/>
    <w:rsid w:val="00CD45E1"/>
    <w:rsid w:val="00CE7E1B"/>
    <w:rsid w:val="00D04F25"/>
    <w:rsid w:val="00D06874"/>
    <w:rsid w:val="00D07530"/>
    <w:rsid w:val="00D07FCB"/>
    <w:rsid w:val="00D1273B"/>
    <w:rsid w:val="00D173F7"/>
    <w:rsid w:val="00D20203"/>
    <w:rsid w:val="00D204E0"/>
    <w:rsid w:val="00D21354"/>
    <w:rsid w:val="00D22400"/>
    <w:rsid w:val="00D23B84"/>
    <w:rsid w:val="00D23F4A"/>
    <w:rsid w:val="00D264E2"/>
    <w:rsid w:val="00D278BA"/>
    <w:rsid w:val="00D30CE3"/>
    <w:rsid w:val="00D33FE5"/>
    <w:rsid w:val="00D348C0"/>
    <w:rsid w:val="00D3578A"/>
    <w:rsid w:val="00D43A15"/>
    <w:rsid w:val="00D4463C"/>
    <w:rsid w:val="00D46182"/>
    <w:rsid w:val="00D46C7D"/>
    <w:rsid w:val="00D501EE"/>
    <w:rsid w:val="00D517DC"/>
    <w:rsid w:val="00D5360D"/>
    <w:rsid w:val="00D5590D"/>
    <w:rsid w:val="00D56A78"/>
    <w:rsid w:val="00D618E4"/>
    <w:rsid w:val="00D61DA5"/>
    <w:rsid w:val="00D642A3"/>
    <w:rsid w:val="00D70FAC"/>
    <w:rsid w:val="00D71B8A"/>
    <w:rsid w:val="00D72C08"/>
    <w:rsid w:val="00D75247"/>
    <w:rsid w:val="00D7779F"/>
    <w:rsid w:val="00D81325"/>
    <w:rsid w:val="00D875ED"/>
    <w:rsid w:val="00D877D0"/>
    <w:rsid w:val="00D90013"/>
    <w:rsid w:val="00D91B9C"/>
    <w:rsid w:val="00D92C1B"/>
    <w:rsid w:val="00D9317B"/>
    <w:rsid w:val="00D94CC7"/>
    <w:rsid w:val="00D97901"/>
    <w:rsid w:val="00DA1AF4"/>
    <w:rsid w:val="00DB0C60"/>
    <w:rsid w:val="00DB3093"/>
    <w:rsid w:val="00DB5540"/>
    <w:rsid w:val="00DC38ED"/>
    <w:rsid w:val="00DC3EAC"/>
    <w:rsid w:val="00DC641A"/>
    <w:rsid w:val="00DD21A1"/>
    <w:rsid w:val="00DD68FB"/>
    <w:rsid w:val="00DD6B7D"/>
    <w:rsid w:val="00DD6E14"/>
    <w:rsid w:val="00DE15AC"/>
    <w:rsid w:val="00DF2015"/>
    <w:rsid w:val="00E061EC"/>
    <w:rsid w:val="00E0696B"/>
    <w:rsid w:val="00E10E81"/>
    <w:rsid w:val="00E13E51"/>
    <w:rsid w:val="00E1555C"/>
    <w:rsid w:val="00E21F56"/>
    <w:rsid w:val="00E3014F"/>
    <w:rsid w:val="00E308A3"/>
    <w:rsid w:val="00E3157D"/>
    <w:rsid w:val="00E318A2"/>
    <w:rsid w:val="00E4286E"/>
    <w:rsid w:val="00E43EAD"/>
    <w:rsid w:val="00E4683D"/>
    <w:rsid w:val="00E62DCB"/>
    <w:rsid w:val="00E651DD"/>
    <w:rsid w:val="00E664DD"/>
    <w:rsid w:val="00E66558"/>
    <w:rsid w:val="00E70D81"/>
    <w:rsid w:val="00E726A6"/>
    <w:rsid w:val="00E73418"/>
    <w:rsid w:val="00E8109E"/>
    <w:rsid w:val="00E85C23"/>
    <w:rsid w:val="00E86F05"/>
    <w:rsid w:val="00EA3A2A"/>
    <w:rsid w:val="00EA6B46"/>
    <w:rsid w:val="00EB4556"/>
    <w:rsid w:val="00EB4A11"/>
    <w:rsid w:val="00EB64C8"/>
    <w:rsid w:val="00EC219C"/>
    <w:rsid w:val="00ED4136"/>
    <w:rsid w:val="00ED5108"/>
    <w:rsid w:val="00ED6AE8"/>
    <w:rsid w:val="00EE262B"/>
    <w:rsid w:val="00EE291B"/>
    <w:rsid w:val="00EE2CB2"/>
    <w:rsid w:val="00EF485B"/>
    <w:rsid w:val="00EF5A6B"/>
    <w:rsid w:val="00F012CA"/>
    <w:rsid w:val="00F01752"/>
    <w:rsid w:val="00F017D2"/>
    <w:rsid w:val="00F0355A"/>
    <w:rsid w:val="00F05C44"/>
    <w:rsid w:val="00F15753"/>
    <w:rsid w:val="00F21F92"/>
    <w:rsid w:val="00F24A7E"/>
    <w:rsid w:val="00F26896"/>
    <w:rsid w:val="00F269FD"/>
    <w:rsid w:val="00F30272"/>
    <w:rsid w:val="00F32ABA"/>
    <w:rsid w:val="00F33DC0"/>
    <w:rsid w:val="00F33F28"/>
    <w:rsid w:val="00F35A40"/>
    <w:rsid w:val="00F35FDE"/>
    <w:rsid w:val="00F40DE1"/>
    <w:rsid w:val="00F4142A"/>
    <w:rsid w:val="00F4174B"/>
    <w:rsid w:val="00F54FCB"/>
    <w:rsid w:val="00F62587"/>
    <w:rsid w:val="00F631A6"/>
    <w:rsid w:val="00F63E9E"/>
    <w:rsid w:val="00F63FEA"/>
    <w:rsid w:val="00F66AA7"/>
    <w:rsid w:val="00F75603"/>
    <w:rsid w:val="00F76843"/>
    <w:rsid w:val="00F776E1"/>
    <w:rsid w:val="00F77E8D"/>
    <w:rsid w:val="00F8519E"/>
    <w:rsid w:val="00F908B3"/>
    <w:rsid w:val="00F91443"/>
    <w:rsid w:val="00F925EB"/>
    <w:rsid w:val="00F96880"/>
    <w:rsid w:val="00F97033"/>
    <w:rsid w:val="00FA6DD0"/>
    <w:rsid w:val="00FB1F7A"/>
    <w:rsid w:val="00FC28DF"/>
    <w:rsid w:val="00FD1780"/>
    <w:rsid w:val="00FD2297"/>
    <w:rsid w:val="00FD406D"/>
    <w:rsid w:val="00FD6AC6"/>
    <w:rsid w:val="00FE3136"/>
    <w:rsid w:val="00FE34B7"/>
    <w:rsid w:val="00FE4921"/>
    <w:rsid w:val="00FE50A3"/>
    <w:rsid w:val="00FE5204"/>
    <w:rsid w:val="00FE604C"/>
    <w:rsid w:val="00FF2000"/>
    <w:rsid w:val="00FF369D"/>
    <w:rsid w:val="00FF3E52"/>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paragraph">
    <w:name w:val="paragraph"/>
    <w:basedOn w:val="Normal"/>
    <w:rsid w:val="00DB5540"/>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DB5540"/>
  </w:style>
  <w:style w:type="character" w:customStyle="1" w:styleId="eop">
    <w:name w:val="eop"/>
    <w:basedOn w:val="DefaultParagraphFont"/>
    <w:rsid w:val="00DB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6849315">
      <w:bodyDiv w:val="1"/>
      <w:marLeft w:val="0"/>
      <w:marRight w:val="0"/>
      <w:marTop w:val="0"/>
      <w:marBottom w:val="0"/>
      <w:divBdr>
        <w:top w:val="none" w:sz="0" w:space="0" w:color="auto"/>
        <w:left w:val="none" w:sz="0" w:space="0" w:color="auto"/>
        <w:bottom w:val="none" w:sz="0" w:space="0" w:color="auto"/>
        <w:right w:val="none" w:sz="0" w:space="0" w:color="auto"/>
      </w:divBdr>
      <w:divsChild>
        <w:div w:id="605894383">
          <w:marLeft w:val="0"/>
          <w:marRight w:val="0"/>
          <w:marTop w:val="0"/>
          <w:marBottom w:val="0"/>
          <w:divBdr>
            <w:top w:val="none" w:sz="0" w:space="0" w:color="auto"/>
            <w:left w:val="none" w:sz="0" w:space="0" w:color="auto"/>
            <w:bottom w:val="none" w:sz="0" w:space="0" w:color="auto"/>
            <w:right w:val="none" w:sz="0" w:space="0" w:color="auto"/>
          </w:divBdr>
          <w:divsChild>
            <w:div w:id="981618988">
              <w:marLeft w:val="0"/>
              <w:marRight w:val="0"/>
              <w:marTop w:val="0"/>
              <w:marBottom w:val="0"/>
              <w:divBdr>
                <w:top w:val="none" w:sz="0" w:space="0" w:color="auto"/>
                <w:left w:val="none" w:sz="0" w:space="0" w:color="auto"/>
                <w:bottom w:val="none" w:sz="0" w:space="0" w:color="auto"/>
                <w:right w:val="none" w:sz="0" w:space="0" w:color="auto"/>
              </w:divBdr>
            </w:div>
          </w:divsChild>
        </w:div>
        <w:div w:id="312565016">
          <w:marLeft w:val="0"/>
          <w:marRight w:val="0"/>
          <w:marTop w:val="0"/>
          <w:marBottom w:val="0"/>
          <w:divBdr>
            <w:top w:val="none" w:sz="0" w:space="0" w:color="auto"/>
            <w:left w:val="none" w:sz="0" w:space="0" w:color="auto"/>
            <w:bottom w:val="none" w:sz="0" w:space="0" w:color="auto"/>
            <w:right w:val="none" w:sz="0" w:space="0" w:color="auto"/>
          </w:divBdr>
          <w:divsChild>
            <w:div w:id="434986598">
              <w:marLeft w:val="0"/>
              <w:marRight w:val="0"/>
              <w:marTop w:val="0"/>
              <w:marBottom w:val="0"/>
              <w:divBdr>
                <w:top w:val="none" w:sz="0" w:space="0" w:color="auto"/>
                <w:left w:val="none" w:sz="0" w:space="0" w:color="auto"/>
                <w:bottom w:val="none" w:sz="0" w:space="0" w:color="auto"/>
                <w:right w:val="none" w:sz="0" w:space="0" w:color="auto"/>
              </w:divBdr>
            </w:div>
          </w:divsChild>
        </w:div>
        <w:div w:id="3015673">
          <w:marLeft w:val="0"/>
          <w:marRight w:val="0"/>
          <w:marTop w:val="0"/>
          <w:marBottom w:val="0"/>
          <w:divBdr>
            <w:top w:val="none" w:sz="0" w:space="0" w:color="auto"/>
            <w:left w:val="none" w:sz="0" w:space="0" w:color="auto"/>
            <w:bottom w:val="none" w:sz="0" w:space="0" w:color="auto"/>
            <w:right w:val="none" w:sz="0" w:space="0" w:color="auto"/>
          </w:divBdr>
          <w:divsChild>
            <w:div w:id="1968586836">
              <w:marLeft w:val="0"/>
              <w:marRight w:val="0"/>
              <w:marTop w:val="0"/>
              <w:marBottom w:val="0"/>
              <w:divBdr>
                <w:top w:val="none" w:sz="0" w:space="0" w:color="auto"/>
                <w:left w:val="none" w:sz="0" w:space="0" w:color="auto"/>
                <w:bottom w:val="none" w:sz="0" w:space="0" w:color="auto"/>
                <w:right w:val="none" w:sz="0" w:space="0" w:color="auto"/>
              </w:divBdr>
            </w:div>
          </w:divsChild>
        </w:div>
        <w:div w:id="828516176">
          <w:marLeft w:val="0"/>
          <w:marRight w:val="0"/>
          <w:marTop w:val="0"/>
          <w:marBottom w:val="0"/>
          <w:divBdr>
            <w:top w:val="none" w:sz="0" w:space="0" w:color="auto"/>
            <w:left w:val="none" w:sz="0" w:space="0" w:color="auto"/>
            <w:bottom w:val="none" w:sz="0" w:space="0" w:color="auto"/>
            <w:right w:val="none" w:sz="0" w:space="0" w:color="auto"/>
          </w:divBdr>
          <w:divsChild>
            <w:div w:id="1690721354">
              <w:marLeft w:val="0"/>
              <w:marRight w:val="0"/>
              <w:marTop w:val="0"/>
              <w:marBottom w:val="0"/>
              <w:divBdr>
                <w:top w:val="none" w:sz="0" w:space="0" w:color="auto"/>
                <w:left w:val="none" w:sz="0" w:space="0" w:color="auto"/>
                <w:bottom w:val="none" w:sz="0" w:space="0" w:color="auto"/>
                <w:right w:val="none" w:sz="0" w:space="0" w:color="auto"/>
              </w:divBdr>
            </w:div>
          </w:divsChild>
        </w:div>
        <w:div w:id="1151865493">
          <w:marLeft w:val="0"/>
          <w:marRight w:val="0"/>
          <w:marTop w:val="0"/>
          <w:marBottom w:val="0"/>
          <w:divBdr>
            <w:top w:val="none" w:sz="0" w:space="0" w:color="auto"/>
            <w:left w:val="none" w:sz="0" w:space="0" w:color="auto"/>
            <w:bottom w:val="none" w:sz="0" w:space="0" w:color="auto"/>
            <w:right w:val="none" w:sz="0" w:space="0" w:color="auto"/>
          </w:divBdr>
          <w:divsChild>
            <w:div w:id="838010592">
              <w:marLeft w:val="0"/>
              <w:marRight w:val="0"/>
              <w:marTop w:val="0"/>
              <w:marBottom w:val="0"/>
              <w:divBdr>
                <w:top w:val="none" w:sz="0" w:space="0" w:color="auto"/>
                <w:left w:val="none" w:sz="0" w:space="0" w:color="auto"/>
                <w:bottom w:val="none" w:sz="0" w:space="0" w:color="auto"/>
                <w:right w:val="none" w:sz="0" w:space="0" w:color="auto"/>
              </w:divBdr>
            </w:div>
            <w:div w:id="1129126722">
              <w:marLeft w:val="0"/>
              <w:marRight w:val="0"/>
              <w:marTop w:val="0"/>
              <w:marBottom w:val="0"/>
              <w:divBdr>
                <w:top w:val="none" w:sz="0" w:space="0" w:color="auto"/>
                <w:left w:val="none" w:sz="0" w:space="0" w:color="auto"/>
                <w:bottom w:val="none" w:sz="0" w:space="0" w:color="auto"/>
                <w:right w:val="none" w:sz="0" w:space="0" w:color="auto"/>
              </w:divBdr>
            </w:div>
            <w:div w:id="1292832971">
              <w:marLeft w:val="0"/>
              <w:marRight w:val="0"/>
              <w:marTop w:val="0"/>
              <w:marBottom w:val="0"/>
              <w:divBdr>
                <w:top w:val="none" w:sz="0" w:space="0" w:color="auto"/>
                <w:left w:val="none" w:sz="0" w:space="0" w:color="auto"/>
                <w:bottom w:val="none" w:sz="0" w:space="0" w:color="auto"/>
                <w:right w:val="none" w:sz="0" w:space="0" w:color="auto"/>
              </w:divBdr>
            </w:div>
          </w:divsChild>
        </w:div>
        <w:div w:id="267125620">
          <w:marLeft w:val="0"/>
          <w:marRight w:val="0"/>
          <w:marTop w:val="0"/>
          <w:marBottom w:val="0"/>
          <w:divBdr>
            <w:top w:val="none" w:sz="0" w:space="0" w:color="auto"/>
            <w:left w:val="none" w:sz="0" w:space="0" w:color="auto"/>
            <w:bottom w:val="none" w:sz="0" w:space="0" w:color="auto"/>
            <w:right w:val="none" w:sz="0" w:space="0" w:color="auto"/>
          </w:divBdr>
          <w:divsChild>
            <w:div w:id="1709837537">
              <w:marLeft w:val="0"/>
              <w:marRight w:val="0"/>
              <w:marTop w:val="0"/>
              <w:marBottom w:val="0"/>
              <w:divBdr>
                <w:top w:val="none" w:sz="0" w:space="0" w:color="auto"/>
                <w:left w:val="none" w:sz="0" w:space="0" w:color="auto"/>
                <w:bottom w:val="none" w:sz="0" w:space="0" w:color="auto"/>
                <w:right w:val="none" w:sz="0" w:space="0" w:color="auto"/>
              </w:divBdr>
            </w:div>
          </w:divsChild>
        </w:div>
        <w:div w:id="1891186210">
          <w:marLeft w:val="0"/>
          <w:marRight w:val="0"/>
          <w:marTop w:val="0"/>
          <w:marBottom w:val="0"/>
          <w:divBdr>
            <w:top w:val="none" w:sz="0" w:space="0" w:color="auto"/>
            <w:left w:val="none" w:sz="0" w:space="0" w:color="auto"/>
            <w:bottom w:val="none" w:sz="0" w:space="0" w:color="auto"/>
            <w:right w:val="none" w:sz="0" w:space="0" w:color="auto"/>
          </w:divBdr>
          <w:divsChild>
            <w:div w:id="1995833720">
              <w:marLeft w:val="0"/>
              <w:marRight w:val="0"/>
              <w:marTop w:val="0"/>
              <w:marBottom w:val="0"/>
              <w:divBdr>
                <w:top w:val="none" w:sz="0" w:space="0" w:color="auto"/>
                <w:left w:val="none" w:sz="0" w:space="0" w:color="auto"/>
                <w:bottom w:val="none" w:sz="0" w:space="0" w:color="auto"/>
                <w:right w:val="none" w:sz="0" w:space="0" w:color="auto"/>
              </w:divBdr>
            </w:div>
          </w:divsChild>
        </w:div>
        <w:div w:id="1373457153">
          <w:marLeft w:val="0"/>
          <w:marRight w:val="0"/>
          <w:marTop w:val="0"/>
          <w:marBottom w:val="0"/>
          <w:divBdr>
            <w:top w:val="none" w:sz="0" w:space="0" w:color="auto"/>
            <w:left w:val="none" w:sz="0" w:space="0" w:color="auto"/>
            <w:bottom w:val="none" w:sz="0" w:space="0" w:color="auto"/>
            <w:right w:val="none" w:sz="0" w:space="0" w:color="auto"/>
          </w:divBdr>
          <w:divsChild>
            <w:div w:id="1149126670">
              <w:marLeft w:val="0"/>
              <w:marRight w:val="0"/>
              <w:marTop w:val="0"/>
              <w:marBottom w:val="0"/>
              <w:divBdr>
                <w:top w:val="none" w:sz="0" w:space="0" w:color="auto"/>
                <w:left w:val="none" w:sz="0" w:space="0" w:color="auto"/>
                <w:bottom w:val="none" w:sz="0" w:space="0" w:color="auto"/>
                <w:right w:val="none" w:sz="0" w:space="0" w:color="auto"/>
              </w:divBdr>
            </w:div>
          </w:divsChild>
        </w:div>
        <w:div w:id="174610334">
          <w:marLeft w:val="0"/>
          <w:marRight w:val="0"/>
          <w:marTop w:val="0"/>
          <w:marBottom w:val="0"/>
          <w:divBdr>
            <w:top w:val="none" w:sz="0" w:space="0" w:color="auto"/>
            <w:left w:val="none" w:sz="0" w:space="0" w:color="auto"/>
            <w:bottom w:val="none" w:sz="0" w:space="0" w:color="auto"/>
            <w:right w:val="none" w:sz="0" w:space="0" w:color="auto"/>
          </w:divBdr>
          <w:divsChild>
            <w:div w:id="20455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8596">
      <w:bodyDiv w:val="1"/>
      <w:marLeft w:val="0"/>
      <w:marRight w:val="0"/>
      <w:marTop w:val="0"/>
      <w:marBottom w:val="0"/>
      <w:divBdr>
        <w:top w:val="none" w:sz="0" w:space="0" w:color="auto"/>
        <w:left w:val="none" w:sz="0" w:space="0" w:color="auto"/>
        <w:bottom w:val="none" w:sz="0" w:space="0" w:color="auto"/>
        <w:right w:val="none" w:sz="0" w:space="0" w:color="auto"/>
      </w:divBdr>
    </w:div>
    <w:div w:id="421872400">
      <w:bodyDiv w:val="1"/>
      <w:marLeft w:val="0"/>
      <w:marRight w:val="0"/>
      <w:marTop w:val="0"/>
      <w:marBottom w:val="0"/>
      <w:divBdr>
        <w:top w:val="none" w:sz="0" w:space="0" w:color="auto"/>
        <w:left w:val="none" w:sz="0" w:space="0" w:color="auto"/>
        <w:bottom w:val="none" w:sz="0" w:space="0" w:color="auto"/>
        <w:right w:val="none" w:sz="0" w:space="0" w:color="auto"/>
      </w:divBdr>
      <w:divsChild>
        <w:div w:id="1849514104">
          <w:marLeft w:val="0"/>
          <w:marRight w:val="0"/>
          <w:marTop w:val="0"/>
          <w:marBottom w:val="0"/>
          <w:divBdr>
            <w:top w:val="none" w:sz="0" w:space="0" w:color="auto"/>
            <w:left w:val="none" w:sz="0" w:space="0" w:color="auto"/>
            <w:bottom w:val="none" w:sz="0" w:space="0" w:color="auto"/>
            <w:right w:val="none" w:sz="0" w:space="0" w:color="auto"/>
          </w:divBdr>
          <w:divsChild>
            <w:div w:id="1968512508">
              <w:marLeft w:val="0"/>
              <w:marRight w:val="0"/>
              <w:marTop w:val="0"/>
              <w:marBottom w:val="0"/>
              <w:divBdr>
                <w:top w:val="none" w:sz="0" w:space="0" w:color="auto"/>
                <w:left w:val="none" w:sz="0" w:space="0" w:color="auto"/>
                <w:bottom w:val="none" w:sz="0" w:space="0" w:color="auto"/>
                <w:right w:val="none" w:sz="0" w:space="0" w:color="auto"/>
              </w:divBdr>
            </w:div>
          </w:divsChild>
        </w:div>
        <w:div w:id="1950506325">
          <w:marLeft w:val="0"/>
          <w:marRight w:val="0"/>
          <w:marTop w:val="0"/>
          <w:marBottom w:val="0"/>
          <w:divBdr>
            <w:top w:val="none" w:sz="0" w:space="0" w:color="auto"/>
            <w:left w:val="none" w:sz="0" w:space="0" w:color="auto"/>
            <w:bottom w:val="none" w:sz="0" w:space="0" w:color="auto"/>
            <w:right w:val="none" w:sz="0" w:space="0" w:color="auto"/>
          </w:divBdr>
          <w:divsChild>
            <w:div w:id="300113923">
              <w:marLeft w:val="0"/>
              <w:marRight w:val="0"/>
              <w:marTop w:val="0"/>
              <w:marBottom w:val="0"/>
              <w:divBdr>
                <w:top w:val="none" w:sz="0" w:space="0" w:color="auto"/>
                <w:left w:val="none" w:sz="0" w:space="0" w:color="auto"/>
                <w:bottom w:val="none" w:sz="0" w:space="0" w:color="auto"/>
                <w:right w:val="none" w:sz="0" w:space="0" w:color="auto"/>
              </w:divBdr>
            </w:div>
          </w:divsChild>
        </w:div>
        <w:div w:id="2104717838">
          <w:marLeft w:val="0"/>
          <w:marRight w:val="0"/>
          <w:marTop w:val="0"/>
          <w:marBottom w:val="0"/>
          <w:divBdr>
            <w:top w:val="none" w:sz="0" w:space="0" w:color="auto"/>
            <w:left w:val="none" w:sz="0" w:space="0" w:color="auto"/>
            <w:bottom w:val="none" w:sz="0" w:space="0" w:color="auto"/>
            <w:right w:val="none" w:sz="0" w:space="0" w:color="auto"/>
          </w:divBdr>
          <w:divsChild>
            <w:div w:id="443698084">
              <w:marLeft w:val="0"/>
              <w:marRight w:val="0"/>
              <w:marTop w:val="0"/>
              <w:marBottom w:val="0"/>
              <w:divBdr>
                <w:top w:val="none" w:sz="0" w:space="0" w:color="auto"/>
                <w:left w:val="none" w:sz="0" w:space="0" w:color="auto"/>
                <w:bottom w:val="none" w:sz="0" w:space="0" w:color="auto"/>
                <w:right w:val="none" w:sz="0" w:space="0" w:color="auto"/>
              </w:divBdr>
            </w:div>
          </w:divsChild>
        </w:div>
        <w:div w:id="867134840">
          <w:marLeft w:val="0"/>
          <w:marRight w:val="0"/>
          <w:marTop w:val="0"/>
          <w:marBottom w:val="0"/>
          <w:divBdr>
            <w:top w:val="none" w:sz="0" w:space="0" w:color="auto"/>
            <w:left w:val="none" w:sz="0" w:space="0" w:color="auto"/>
            <w:bottom w:val="none" w:sz="0" w:space="0" w:color="auto"/>
            <w:right w:val="none" w:sz="0" w:space="0" w:color="auto"/>
          </w:divBdr>
          <w:divsChild>
            <w:div w:id="712851982">
              <w:marLeft w:val="0"/>
              <w:marRight w:val="0"/>
              <w:marTop w:val="0"/>
              <w:marBottom w:val="0"/>
              <w:divBdr>
                <w:top w:val="none" w:sz="0" w:space="0" w:color="auto"/>
                <w:left w:val="none" w:sz="0" w:space="0" w:color="auto"/>
                <w:bottom w:val="none" w:sz="0" w:space="0" w:color="auto"/>
                <w:right w:val="none" w:sz="0" w:space="0" w:color="auto"/>
              </w:divBdr>
            </w:div>
          </w:divsChild>
        </w:div>
        <w:div w:id="203758897">
          <w:marLeft w:val="0"/>
          <w:marRight w:val="0"/>
          <w:marTop w:val="0"/>
          <w:marBottom w:val="0"/>
          <w:divBdr>
            <w:top w:val="none" w:sz="0" w:space="0" w:color="auto"/>
            <w:left w:val="none" w:sz="0" w:space="0" w:color="auto"/>
            <w:bottom w:val="none" w:sz="0" w:space="0" w:color="auto"/>
            <w:right w:val="none" w:sz="0" w:space="0" w:color="auto"/>
          </w:divBdr>
          <w:divsChild>
            <w:div w:id="813327805">
              <w:marLeft w:val="0"/>
              <w:marRight w:val="0"/>
              <w:marTop w:val="0"/>
              <w:marBottom w:val="0"/>
              <w:divBdr>
                <w:top w:val="none" w:sz="0" w:space="0" w:color="auto"/>
                <w:left w:val="none" w:sz="0" w:space="0" w:color="auto"/>
                <w:bottom w:val="none" w:sz="0" w:space="0" w:color="auto"/>
                <w:right w:val="none" w:sz="0" w:space="0" w:color="auto"/>
              </w:divBdr>
            </w:div>
            <w:div w:id="530997872">
              <w:marLeft w:val="0"/>
              <w:marRight w:val="0"/>
              <w:marTop w:val="0"/>
              <w:marBottom w:val="0"/>
              <w:divBdr>
                <w:top w:val="none" w:sz="0" w:space="0" w:color="auto"/>
                <w:left w:val="none" w:sz="0" w:space="0" w:color="auto"/>
                <w:bottom w:val="none" w:sz="0" w:space="0" w:color="auto"/>
                <w:right w:val="none" w:sz="0" w:space="0" w:color="auto"/>
              </w:divBdr>
            </w:div>
          </w:divsChild>
        </w:div>
        <w:div w:id="423377939">
          <w:marLeft w:val="0"/>
          <w:marRight w:val="0"/>
          <w:marTop w:val="0"/>
          <w:marBottom w:val="0"/>
          <w:divBdr>
            <w:top w:val="none" w:sz="0" w:space="0" w:color="auto"/>
            <w:left w:val="none" w:sz="0" w:space="0" w:color="auto"/>
            <w:bottom w:val="none" w:sz="0" w:space="0" w:color="auto"/>
            <w:right w:val="none" w:sz="0" w:space="0" w:color="auto"/>
          </w:divBdr>
          <w:divsChild>
            <w:div w:id="1637639043">
              <w:marLeft w:val="0"/>
              <w:marRight w:val="0"/>
              <w:marTop w:val="0"/>
              <w:marBottom w:val="0"/>
              <w:divBdr>
                <w:top w:val="none" w:sz="0" w:space="0" w:color="auto"/>
                <w:left w:val="none" w:sz="0" w:space="0" w:color="auto"/>
                <w:bottom w:val="none" w:sz="0" w:space="0" w:color="auto"/>
                <w:right w:val="none" w:sz="0" w:space="0" w:color="auto"/>
              </w:divBdr>
            </w:div>
            <w:div w:id="898057752">
              <w:marLeft w:val="0"/>
              <w:marRight w:val="0"/>
              <w:marTop w:val="0"/>
              <w:marBottom w:val="0"/>
              <w:divBdr>
                <w:top w:val="none" w:sz="0" w:space="0" w:color="auto"/>
                <w:left w:val="none" w:sz="0" w:space="0" w:color="auto"/>
                <w:bottom w:val="none" w:sz="0" w:space="0" w:color="auto"/>
                <w:right w:val="none" w:sz="0" w:space="0" w:color="auto"/>
              </w:divBdr>
            </w:div>
            <w:div w:id="384765273">
              <w:marLeft w:val="0"/>
              <w:marRight w:val="0"/>
              <w:marTop w:val="0"/>
              <w:marBottom w:val="0"/>
              <w:divBdr>
                <w:top w:val="none" w:sz="0" w:space="0" w:color="auto"/>
                <w:left w:val="none" w:sz="0" w:space="0" w:color="auto"/>
                <w:bottom w:val="none" w:sz="0" w:space="0" w:color="auto"/>
                <w:right w:val="none" w:sz="0" w:space="0" w:color="auto"/>
              </w:divBdr>
            </w:div>
          </w:divsChild>
        </w:div>
        <w:div w:id="1574389687">
          <w:marLeft w:val="0"/>
          <w:marRight w:val="0"/>
          <w:marTop w:val="0"/>
          <w:marBottom w:val="0"/>
          <w:divBdr>
            <w:top w:val="none" w:sz="0" w:space="0" w:color="auto"/>
            <w:left w:val="none" w:sz="0" w:space="0" w:color="auto"/>
            <w:bottom w:val="none" w:sz="0" w:space="0" w:color="auto"/>
            <w:right w:val="none" w:sz="0" w:space="0" w:color="auto"/>
          </w:divBdr>
          <w:divsChild>
            <w:div w:id="1373577808">
              <w:marLeft w:val="0"/>
              <w:marRight w:val="0"/>
              <w:marTop w:val="0"/>
              <w:marBottom w:val="0"/>
              <w:divBdr>
                <w:top w:val="none" w:sz="0" w:space="0" w:color="auto"/>
                <w:left w:val="none" w:sz="0" w:space="0" w:color="auto"/>
                <w:bottom w:val="none" w:sz="0" w:space="0" w:color="auto"/>
                <w:right w:val="none" w:sz="0" w:space="0" w:color="auto"/>
              </w:divBdr>
            </w:div>
          </w:divsChild>
        </w:div>
        <w:div w:id="1766539145">
          <w:marLeft w:val="0"/>
          <w:marRight w:val="0"/>
          <w:marTop w:val="0"/>
          <w:marBottom w:val="0"/>
          <w:divBdr>
            <w:top w:val="none" w:sz="0" w:space="0" w:color="auto"/>
            <w:left w:val="none" w:sz="0" w:space="0" w:color="auto"/>
            <w:bottom w:val="none" w:sz="0" w:space="0" w:color="auto"/>
            <w:right w:val="none" w:sz="0" w:space="0" w:color="auto"/>
          </w:divBdr>
          <w:divsChild>
            <w:div w:id="1670210590">
              <w:marLeft w:val="0"/>
              <w:marRight w:val="0"/>
              <w:marTop w:val="0"/>
              <w:marBottom w:val="0"/>
              <w:divBdr>
                <w:top w:val="none" w:sz="0" w:space="0" w:color="auto"/>
                <w:left w:val="none" w:sz="0" w:space="0" w:color="auto"/>
                <w:bottom w:val="none" w:sz="0" w:space="0" w:color="auto"/>
                <w:right w:val="none" w:sz="0" w:space="0" w:color="auto"/>
              </w:divBdr>
            </w:div>
          </w:divsChild>
        </w:div>
        <w:div w:id="1355232233">
          <w:marLeft w:val="0"/>
          <w:marRight w:val="0"/>
          <w:marTop w:val="0"/>
          <w:marBottom w:val="0"/>
          <w:divBdr>
            <w:top w:val="none" w:sz="0" w:space="0" w:color="auto"/>
            <w:left w:val="none" w:sz="0" w:space="0" w:color="auto"/>
            <w:bottom w:val="none" w:sz="0" w:space="0" w:color="auto"/>
            <w:right w:val="none" w:sz="0" w:space="0" w:color="auto"/>
          </w:divBdr>
          <w:divsChild>
            <w:div w:id="351302206">
              <w:marLeft w:val="0"/>
              <w:marRight w:val="0"/>
              <w:marTop w:val="0"/>
              <w:marBottom w:val="0"/>
              <w:divBdr>
                <w:top w:val="none" w:sz="0" w:space="0" w:color="auto"/>
                <w:left w:val="none" w:sz="0" w:space="0" w:color="auto"/>
                <w:bottom w:val="none" w:sz="0" w:space="0" w:color="auto"/>
                <w:right w:val="none" w:sz="0" w:space="0" w:color="auto"/>
              </w:divBdr>
            </w:div>
            <w:div w:id="1898709221">
              <w:marLeft w:val="0"/>
              <w:marRight w:val="0"/>
              <w:marTop w:val="0"/>
              <w:marBottom w:val="0"/>
              <w:divBdr>
                <w:top w:val="none" w:sz="0" w:space="0" w:color="auto"/>
                <w:left w:val="none" w:sz="0" w:space="0" w:color="auto"/>
                <w:bottom w:val="none" w:sz="0" w:space="0" w:color="auto"/>
                <w:right w:val="none" w:sz="0" w:space="0" w:color="auto"/>
              </w:divBdr>
            </w:div>
          </w:divsChild>
        </w:div>
        <w:div w:id="518546006">
          <w:marLeft w:val="0"/>
          <w:marRight w:val="0"/>
          <w:marTop w:val="0"/>
          <w:marBottom w:val="0"/>
          <w:divBdr>
            <w:top w:val="none" w:sz="0" w:space="0" w:color="auto"/>
            <w:left w:val="none" w:sz="0" w:space="0" w:color="auto"/>
            <w:bottom w:val="none" w:sz="0" w:space="0" w:color="auto"/>
            <w:right w:val="none" w:sz="0" w:space="0" w:color="auto"/>
          </w:divBdr>
          <w:divsChild>
            <w:div w:id="297230287">
              <w:marLeft w:val="0"/>
              <w:marRight w:val="0"/>
              <w:marTop w:val="0"/>
              <w:marBottom w:val="0"/>
              <w:divBdr>
                <w:top w:val="none" w:sz="0" w:space="0" w:color="auto"/>
                <w:left w:val="none" w:sz="0" w:space="0" w:color="auto"/>
                <w:bottom w:val="none" w:sz="0" w:space="0" w:color="auto"/>
                <w:right w:val="none" w:sz="0" w:space="0" w:color="auto"/>
              </w:divBdr>
            </w:div>
          </w:divsChild>
        </w:div>
        <w:div w:id="1739358127">
          <w:marLeft w:val="0"/>
          <w:marRight w:val="0"/>
          <w:marTop w:val="0"/>
          <w:marBottom w:val="0"/>
          <w:divBdr>
            <w:top w:val="none" w:sz="0" w:space="0" w:color="auto"/>
            <w:left w:val="none" w:sz="0" w:space="0" w:color="auto"/>
            <w:bottom w:val="none" w:sz="0" w:space="0" w:color="auto"/>
            <w:right w:val="none" w:sz="0" w:space="0" w:color="auto"/>
          </w:divBdr>
          <w:divsChild>
            <w:div w:id="722682624">
              <w:marLeft w:val="0"/>
              <w:marRight w:val="0"/>
              <w:marTop w:val="0"/>
              <w:marBottom w:val="0"/>
              <w:divBdr>
                <w:top w:val="none" w:sz="0" w:space="0" w:color="auto"/>
                <w:left w:val="none" w:sz="0" w:space="0" w:color="auto"/>
                <w:bottom w:val="none" w:sz="0" w:space="0" w:color="auto"/>
                <w:right w:val="none" w:sz="0" w:space="0" w:color="auto"/>
              </w:divBdr>
            </w:div>
            <w:div w:id="81729470">
              <w:marLeft w:val="0"/>
              <w:marRight w:val="0"/>
              <w:marTop w:val="0"/>
              <w:marBottom w:val="0"/>
              <w:divBdr>
                <w:top w:val="none" w:sz="0" w:space="0" w:color="auto"/>
                <w:left w:val="none" w:sz="0" w:space="0" w:color="auto"/>
                <w:bottom w:val="none" w:sz="0" w:space="0" w:color="auto"/>
                <w:right w:val="none" w:sz="0" w:space="0" w:color="auto"/>
              </w:divBdr>
            </w:div>
          </w:divsChild>
        </w:div>
        <w:div w:id="1441803131">
          <w:marLeft w:val="0"/>
          <w:marRight w:val="0"/>
          <w:marTop w:val="0"/>
          <w:marBottom w:val="0"/>
          <w:divBdr>
            <w:top w:val="none" w:sz="0" w:space="0" w:color="auto"/>
            <w:left w:val="none" w:sz="0" w:space="0" w:color="auto"/>
            <w:bottom w:val="none" w:sz="0" w:space="0" w:color="auto"/>
            <w:right w:val="none" w:sz="0" w:space="0" w:color="auto"/>
          </w:divBdr>
          <w:divsChild>
            <w:div w:id="2134205099">
              <w:marLeft w:val="0"/>
              <w:marRight w:val="0"/>
              <w:marTop w:val="0"/>
              <w:marBottom w:val="0"/>
              <w:divBdr>
                <w:top w:val="none" w:sz="0" w:space="0" w:color="auto"/>
                <w:left w:val="none" w:sz="0" w:space="0" w:color="auto"/>
                <w:bottom w:val="none" w:sz="0" w:space="0" w:color="auto"/>
                <w:right w:val="none" w:sz="0" w:space="0" w:color="auto"/>
              </w:divBdr>
            </w:div>
          </w:divsChild>
        </w:div>
        <w:div w:id="2104572211">
          <w:marLeft w:val="0"/>
          <w:marRight w:val="0"/>
          <w:marTop w:val="0"/>
          <w:marBottom w:val="0"/>
          <w:divBdr>
            <w:top w:val="none" w:sz="0" w:space="0" w:color="auto"/>
            <w:left w:val="none" w:sz="0" w:space="0" w:color="auto"/>
            <w:bottom w:val="none" w:sz="0" w:space="0" w:color="auto"/>
            <w:right w:val="none" w:sz="0" w:space="0" w:color="auto"/>
          </w:divBdr>
          <w:divsChild>
            <w:div w:id="868303459">
              <w:marLeft w:val="0"/>
              <w:marRight w:val="0"/>
              <w:marTop w:val="0"/>
              <w:marBottom w:val="0"/>
              <w:divBdr>
                <w:top w:val="none" w:sz="0" w:space="0" w:color="auto"/>
                <w:left w:val="none" w:sz="0" w:space="0" w:color="auto"/>
                <w:bottom w:val="none" w:sz="0" w:space="0" w:color="auto"/>
                <w:right w:val="none" w:sz="0" w:space="0" w:color="auto"/>
              </w:divBdr>
            </w:div>
          </w:divsChild>
        </w:div>
        <w:div w:id="1083378507">
          <w:marLeft w:val="0"/>
          <w:marRight w:val="0"/>
          <w:marTop w:val="0"/>
          <w:marBottom w:val="0"/>
          <w:divBdr>
            <w:top w:val="none" w:sz="0" w:space="0" w:color="auto"/>
            <w:left w:val="none" w:sz="0" w:space="0" w:color="auto"/>
            <w:bottom w:val="none" w:sz="0" w:space="0" w:color="auto"/>
            <w:right w:val="none" w:sz="0" w:space="0" w:color="auto"/>
          </w:divBdr>
          <w:divsChild>
            <w:div w:id="1916666790">
              <w:marLeft w:val="0"/>
              <w:marRight w:val="0"/>
              <w:marTop w:val="0"/>
              <w:marBottom w:val="0"/>
              <w:divBdr>
                <w:top w:val="none" w:sz="0" w:space="0" w:color="auto"/>
                <w:left w:val="none" w:sz="0" w:space="0" w:color="auto"/>
                <w:bottom w:val="none" w:sz="0" w:space="0" w:color="auto"/>
                <w:right w:val="none" w:sz="0" w:space="0" w:color="auto"/>
              </w:divBdr>
            </w:div>
            <w:div w:id="253365273">
              <w:marLeft w:val="0"/>
              <w:marRight w:val="0"/>
              <w:marTop w:val="0"/>
              <w:marBottom w:val="0"/>
              <w:divBdr>
                <w:top w:val="none" w:sz="0" w:space="0" w:color="auto"/>
                <w:left w:val="none" w:sz="0" w:space="0" w:color="auto"/>
                <w:bottom w:val="none" w:sz="0" w:space="0" w:color="auto"/>
                <w:right w:val="none" w:sz="0" w:space="0" w:color="auto"/>
              </w:divBdr>
            </w:div>
            <w:div w:id="432022449">
              <w:marLeft w:val="0"/>
              <w:marRight w:val="0"/>
              <w:marTop w:val="0"/>
              <w:marBottom w:val="0"/>
              <w:divBdr>
                <w:top w:val="none" w:sz="0" w:space="0" w:color="auto"/>
                <w:left w:val="none" w:sz="0" w:space="0" w:color="auto"/>
                <w:bottom w:val="none" w:sz="0" w:space="0" w:color="auto"/>
                <w:right w:val="none" w:sz="0" w:space="0" w:color="auto"/>
              </w:divBdr>
            </w:div>
          </w:divsChild>
        </w:div>
        <w:div w:id="662468667">
          <w:marLeft w:val="0"/>
          <w:marRight w:val="0"/>
          <w:marTop w:val="0"/>
          <w:marBottom w:val="0"/>
          <w:divBdr>
            <w:top w:val="none" w:sz="0" w:space="0" w:color="auto"/>
            <w:left w:val="none" w:sz="0" w:space="0" w:color="auto"/>
            <w:bottom w:val="none" w:sz="0" w:space="0" w:color="auto"/>
            <w:right w:val="none" w:sz="0" w:space="0" w:color="auto"/>
          </w:divBdr>
          <w:divsChild>
            <w:div w:id="1084188535">
              <w:marLeft w:val="0"/>
              <w:marRight w:val="0"/>
              <w:marTop w:val="0"/>
              <w:marBottom w:val="0"/>
              <w:divBdr>
                <w:top w:val="none" w:sz="0" w:space="0" w:color="auto"/>
                <w:left w:val="none" w:sz="0" w:space="0" w:color="auto"/>
                <w:bottom w:val="none" w:sz="0" w:space="0" w:color="auto"/>
                <w:right w:val="none" w:sz="0" w:space="0" w:color="auto"/>
              </w:divBdr>
            </w:div>
            <w:div w:id="19927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7754">
      <w:bodyDiv w:val="1"/>
      <w:marLeft w:val="0"/>
      <w:marRight w:val="0"/>
      <w:marTop w:val="0"/>
      <w:marBottom w:val="0"/>
      <w:divBdr>
        <w:top w:val="none" w:sz="0" w:space="0" w:color="auto"/>
        <w:left w:val="none" w:sz="0" w:space="0" w:color="auto"/>
        <w:bottom w:val="none" w:sz="0" w:space="0" w:color="auto"/>
        <w:right w:val="none" w:sz="0" w:space="0" w:color="auto"/>
      </w:divBdr>
    </w:div>
    <w:div w:id="446513622">
      <w:bodyDiv w:val="1"/>
      <w:marLeft w:val="0"/>
      <w:marRight w:val="0"/>
      <w:marTop w:val="0"/>
      <w:marBottom w:val="0"/>
      <w:divBdr>
        <w:top w:val="none" w:sz="0" w:space="0" w:color="auto"/>
        <w:left w:val="none" w:sz="0" w:space="0" w:color="auto"/>
        <w:bottom w:val="none" w:sz="0" w:space="0" w:color="auto"/>
        <w:right w:val="none" w:sz="0" w:space="0" w:color="auto"/>
      </w:divBdr>
    </w:div>
    <w:div w:id="523328051">
      <w:bodyDiv w:val="1"/>
      <w:marLeft w:val="0"/>
      <w:marRight w:val="0"/>
      <w:marTop w:val="0"/>
      <w:marBottom w:val="0"/>
      <w:divBdr>
        <w:top w:val="none" w:sz="0" w:space="0" w:color="auto"/>
        <w:left w:val="none" w:sz="0" w:space="0" w:color="auto"/>
        <w:bottom w:val="none" w:sz="0" w:space="0" w:color="auto"/>
        <w:right w:val="none" w:sz="0" w:space="0" w:color="auto"/>
      </w:divBdr>
    </w:div>
    <w:div w:id="546181964">
      <w:bodyDiv w:val="1"/>
      <w:marLeft w:val="0"/>
      <w:marRight w:val="0"/>
      <w:marTop w:val="0"/>
      <w:marBottom w:val="0"/>
      <w:divBdr>
        <w:top w:val="none" w:sz="0" w:space="0" w:color="auto"/>
        <w:left w:val="none" w:sz="0" w:space="0" w:color="auto"/>
        <w:bottom w:val="none" w:sz="0" w:space="0" w:color="auto"/>
        <w:right w:val="none" w:sz="0" w:space="0" w:color="auto"/>
      </w:divBdr>
    </w:div>
    <w:div w:id="564876937">
      <w:bodyDiv w:val="1"/>
      <w:marLeft w:val="0"/>
      <w:marRight w:val="0"/>
      <w:marTop w:val="0"/>
      <w:marBottom w:val="0"/>
      <w:divBdr>
        <w:top w:val="none" w:sz="0" w:space="0" w:color="auto"/>
        <w:left w:val="none" w:sz="0" w:space="0" w:color="auto"/>
        <w:bottom w:val="none" w:sz="0" w:space="0" w:color="auto"/>
        <w:right w:val="none" w:sz="0" w:space="0" w:color="auto"/>
      </w:divBdr>
    </w:div>
    <w:div w:id="697319656">
      <w:bodyDiv w:val="1"/>
      <w:marLeft w:val="0"/>
      <w:marRight w:val="0"/>
      <w:marTop w:val="0"/>
      <w:marBottom w:val="0"/>
      <w:divBdr>
        <w:top w:val="none" w:sz="0" w:space="0" w:color="auto"/>
        <w:left w:val="none" w:sz="0" w:space="0" w:color="auto"/>
        <w:bottom w:val="none" w:sz="0" w:space="0" w:color="auto"/>
        <w:right w:val="none" w:sz="0" w:space="0" w:color="auto"/>
      </w:divBdr>
      <w:divsChild>
        <w:div w:id="649095265">
          <w:marLeft w:val="0"/>
          <w:marRight w:val="0"/>
          <w:marTop w:val="0"/>
          <w:marBottom w:val="0"/>
          <w:divBdr>
            <w:top w:val="none" w:sz="0" w:space="0" w:color="auto"/>
            <w:left w:val="none" w:sz="0" w:space="0" w:color="auto"/>
            <w:bottom w:val="none" w:sz="0" w:space="0" w:color="auto"/>
            <w:right w:val="none" w:sz="0" w:space="0" w:color="auto"/>
          </w:divBdr>
        </w:div>
        <w:div w:id="1789658023">
          <w:marLeft w:val="0"/>
          <w:marRight w:val="0"/>
          <w:marTop w:val="0"/>
          <w:marBottom w:val="0"/>
          <w:divBdr>
            <w:top w:val="none" w:sz="0" w:space="0" w:color="auto"/>
            <w:left w:val="none" w:sz="0" w:space="0" w:color="auto"/>
            <w:bottom w:val="none" w:sz="0" w:space="0" w:color="auto"/>
            <w:right w:val="none" w:sz="0" w:space="0" w:color="auto"/>
          </w:divBdr>
        </w:div>
      </w:divsChild>
    </w:div>
    <w:div w:id="711272158">
      <w:bodyDiv w:val="1"/>
      <w:marLeft w:val="0"/>
      <w:marRight w:val="0"/>
      <w:marTop w:val="0"/>
      <w:marBottom w:val="0"/>
      <w:divBdr>
        <w:top w:val="none" w:sz="0" w:space="0" w:color="auto"/>
        <w:left w:val="none" w:sz="0" w:space="0" w:color="auto"/>
        <w:bottom w:val="none" w:sz="0" w:space="0" w:color="auto"/>
        <w:right w:val="none" w:sz="0" w:space="0" w:color="auto"/>
      </w:divBdr>
    </w:div>
    <w:div w:id="862014888">
      <w:bodyDiv w:val="1"/>
      <w:marLeft w:val="0"/>
      <w:marRight w:val="0"/>
      <w:marTop w:val="0"/>
      <w:marBottom w:val="0"/>
      <w:divBdr>
        <w:top w:val="none" w:sz="0" w:space="0" w:color="auto"/>
        <w:left w:val="none" w:sz="0" w:space="0" w:color="auto"/>
        <w:bottom w:val="none" w:sz="0" w:space="0" w:color="auto"/>
        <w:right w:val="none" w:sz="0" w:space="0" w:color="auto"/>
      </w:divBdr>
      <w:divsChild>
        <w:div w:id="543445713">
          <w:marLeft w:val="0"/>
          <w:marRight w:val="0"/>
          <w:marTop w:val="0"/>
          <w:marBottom w:val="0"/>
          <w:divBdr>
            <w:top w:val="none" w:sz="0" w:space="0" w:color="auto"/>
            <w:left w:val="none" w:sz="0" w:space="0" w:color="auto"/>
            <w:bottom w:val="none" w:sz="0" w:space="0" w:color="auto"/>
            <w:right w:val="none" w:sz="0" w:space="0" w:color="auto"/>
          </w:divBdr>
        </w:div>
        <w:div w:id="1007823996">
          <w:marLeft w:val="0"/>
          <w:marRight w:val="0"/>
          <w:marTop w:val="0"/>
          <w:marBottom w:val="0"/>
          <w:divBdr>
            <w:top w:val="none" w:sz="0" w:space="0" w:color="auto"/>
            <w:left w:val="none" w:sz="0" w:space="0" w:color="auto"/>
            <w:bottom w:val="none" w:sz="0" w:space="0" w:color="auto"/>
            <w:right w:val="none" w:sz="0" w:space="0" w:color="auto"/>
          </w:divBdr>
        </w:div>
      </w:divsChild>
    </w:div>
    <w:div w:id="887914329">
      <w:bodyDiv w:val="1"/>
      <w:marLeft w:val="0"/>
      <w:marRight w:val="0"/>
      <w:marTop w:val="0"/>
      <w:marBottom w:val="0"/>
      <w:divBdr>
        <w:top w:val="none" w:sz="0" w:space="0" w:color="auto"/>
        <w:left w:val="none" w:sz="0" w:space="0" w:color="auto"/>
        <w:bottom w:val="none" w:sz="0" w:space="0" w:color="auto"/>
        <w:right w:val="none" w:sz="0" w:space="0" w:color="auto"/>
      </w:divBdr>
      <w:divsChild>
        <w:div w:id="522595752">
          <w:marLeft w:val="0"/>
          <w:marRight w:val="0"/>
          <w:marTop w:val="0"/>
          <w:marBottom w:val="0"/>
          <w:divBdr>
            <w:top w:val="none" w:sz="0" w:space="0" w:color="auto"/>
            <w:left w:val="none" w:sz="0" w:space="0" w:color="auto"/>
            <w:bottom w:val="none" w:sz="0" w:space="0" w:color="auto"/>
            <w:right w:val="none" w:sz="0" w:space="0" w:color="auto"/>
          </w:divBdr>
          <w:divsChild>
            <w:div w:id="1690334203">
              <w:marLeft w:val="0"/>
              <w:marRight w:val="0"/>
              <w:marTop w:val="0"/>
              <w:marBottom w:val="0"/>
              <w:divBdr>
                <w:top w:val="none" w:sz="0" w:space="0" w:color="auto"/>
                <w:left w:val="none" w:sz="0" w:space="0" w:color="auto"/>
                <w:bottom w:val="none" w:sz="0" w:space="0" w:color="auto"/>
                <w:right w:val="none" w:sz="0" w:space="0" w:color="auto"/>
              </w:divBdr>
            </w:div>
            <w:div w:id="563300475">
              <w:marLeft w:val="0"/>
              <w:marRight w:val="0"/>
              <w:marTop w:val="0"/>
              <w:marBottom w:val="0"/>
              <w:divBdr>
                <w:top w:val="none" w:sz="0" w:space="0" w:color="auto"/>
                <w:left w:val="none" w:sz="0" w:space="0" w:color="auto"/>
                <w:bottom w:val="none" w:sz="0" w:space="0" w:color="auto"/>
                <w:right w:val="none" w:sz="0" w:space="0" w:color="auto"/>
              </w:divBdr>
            </w:div>
            <w:div w:id="1102840234">
              <w:marLeft w:val="0"/>
              <w:marRight w:val="0"/>
              <w:marTop w:val="0"/>
              <w:marBottom w:val="0"/>
              <w:divBdr>
                <w:top w:val="none" w:sz="0" w:space="0" w:color="auto"/>
                <w:left w:val="none" w:sz="0" w:space="0" w:color="auto"/>
                <w:bottom w:val="none" w:sz="0" w:space="0" w:color="auto"/>
                <w:right w:val="none" w:sz="0" w:space="0" w:color="auto"/>
              </w:divBdr>
            </w:div>
            <w:div w:id="1421636767">
              <w:marLeft w:val="0"/>
              <w:marRight w:val="0"/>
              <w:marTop w:val="0"/>
              <w:marBottom w:val="0"/>
              <w:divBdr>
                <w:top w:val="none" w:sz="0" w:space="0" w:color="auto"/>
                <w:left w:val="none" w:sz="0" w:space="0" w:color="auto"/>
                <w:bottom w:val="none" w:sz="0" w:space="0" w:color="auto"/>
                <w:right w:val="none" w:sz="0" w:space="0" w:color="auto"/>
              </w:divBdr>
            </w:div>
          </w:divsChild>
        </w:div>
        <w:div w:id="465972104">
          <w:marLeft w:val="0"/>
          <w:marRight w:val="0"/>
          <w:marTop w:val="0"/>
          <w:marBottom w:val="0"/>
          <w:divBdr>
            <w:top w:val="none" w:sz="0" w:space="0" w:color="auto"/>
            <w:left w:val="none" w:sz="0" w:space="0" w:color="auto"/>
            <w:bottom w:val="none" w:sz="0" w:space="0" w:color="auto"/>
            <w:right w:val="none" w:sz="0" w:space="0" w:color="auto"/>
          </w:divBdr>
          <w:divsChild>
            <w:div w:id="1810124457">
              <w:marLeft w:val="0"/>
              <w:marRight w:val="0"/>
              <w:marTop w:val="0"/>
              <w:marBottom w:val="0"/>
              <w:divBdr>
                <w:top w:val="none" w:sz="0" w:space="0" w:color="auto"/>
                <w:left w:val="none" w:sz="0" w:space="0" w:color="auto"/>
                <w:bottom w:val="none" w:sz="0" w:space="0" w:color="auto"/>
                <w:right w:val="none" w:sz="0" w:space="0" w:color="auto"/>
              </w:divBdr>
            </w:div>
          </w:divsChild>
        </w:div>
        <w:div w:id="631864046">
          <w:marLeft w:val="0"/>
          <w:marRight w:val="0"/>
          <w:marTop w:val="0"/>
          <w:marBottom w:val="0"/>
          <w:divBdr>
            <w:top w:val="none" w:sz="0" w:space="0" w:color="auto"/>
            <w:left w:val="none" w:sz="0" w:space="0" w:color="auto"/>
            <w:bottom w:val="none" w:sz="0" w:space="0" w:color="auto"/>
            <w:right w:val="none" w:sz="0" w:space="0" w:color="auto"/>
          </w:divBdr>
          <w:divsChild>
            <w:div w:id="128981892">
              <w:marLeft w:val="0"/>
              <w:marRight w:val="0"/>
              <w:marTop w:val="0"/>
              <w:marBottom w:val="0"/>
              <w:divBdr>
                <w:top w:val="none" w:sz="0" w:space="0" w:color="auto"/>
                <w:left w:val="none" w:sz="0" w:space="0" w:color="auto"/>
                <w:bottom w:val="none" w:sz="0" w:space="0" w:color="auto"/>
                <w:right w:val="none" w:sz="0" w:space="0" w:color="auto"/>
              </w:divBdr>
            </w:div>
            <w:div w:id="4570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575">
      <w:bodyDiv w:val="1"/>
      <w:marLeft w:val="0"/>
      <w:marRight w:val="0"/>
      <w:marTop w:val="0"/>
      <w:marBottom w:val="0"/>
      <w:divBdr>
        <w:top w:val="none" w:sz="0" w:space="0" w:color="auto"/>
        <w:left w:val="none" w:sz="0" w:space="0" w:color="auto"/>
        <w:bottom w:val="none" w:sz="0" w:space="0" w:color="auto"/>
        <w:right w:val="none" w:sz="0" w:space="0" w:color="auto"/>
      </w:divBdr>
    </w:div>
    <w:div w:id="1393385581">
      <w:bodyDiv w:val="1"/>
      <w:marLeft w:val="0"/>
      <w:marRight w:val="0"/>
      <w:marTop w:val="0"/>
      <w:marBottom w:val="0"/>
      <w:divBdr>
        <w:top w:val="none" w:sz="0" w:space="0" w:color="auto"/>
        <w:left w:val="none" w:sz="0" w:space="0" w:color="auto"/>
        <w:bottom w:val="none" w:sz="0" w:space="0" w:color="auto"/>
        <w:right w:val="none" w:sz="0" w:space="0" w:color="auto"/>
      </w:divBdr>
      <w:divsChild>
        <w:div w:id="1893808660">
          <w:marLeft w:val="0"/>
          <w:marRight w:val="0"/>
          <w:marTop w:val="0"/>
          <w:marBottom w:val="0"/>
          <w:divBdr>
            <w:top w:val="none" w:sz="0" w:space="0" w:color="auto"/>
            <w:left w:val="none" w:sz="0" w:space="0" w:color="auto"/>
            <w:bottom w:val="none" w:sz="0" w:space="0" w:color="auto"/>
            <w:right w:val="none" w:sz="0" w:space="0" w:color="auto"/>
          </w:divBdr>
          <w:divsChild>
            <w:div w:id="774135878">
              <w:marLeft w:val="0"/>
              <w:marRight w:val="0"/>
              <w:marTop w:val="0"/>
              <w:marBottom w:val="0"/>
              <w:divBdr>
                <w:top w:val="none" w:sz="0" w:space="0" w:color="auto"/>
                <w:left w:val="none" w:sz="0" w:space="0" w:color="auto"/>
                <w:bottom w:val="none" w:sz="0" w:space="0" w:color="auto"/>
                <w:right w:val="none" w:sz="0" w:space="0" w:color="auto"/>
              </w:divBdr>
            </w:div>
          </w:divsChild>
        </w:div>
        <w:div w:id="1224098565">
          <w:marLeft w:val="0"/>
          <w:marRight w:val="0"/>
          <w:marTop w:val="0"/>
          <w:marBottom w:val="0"/>
          <w:divBdr>
            <w:top w:val="none" w:sz="0" w:space="0" w:color="auto"/>
            <w:left w:val="none" w:sz="0" w:space="0" w:color="auto"/>
            <w:bottom w:val="none" w:sz="0" w:space="0" w:color="auto"/>
            <w:right w:val="none" w:sz="0" w:space="0" w:color="auto"/>
          </w:divBdr>
          <w:divsChild>
            <w:div w:id="606549731">
              <w:marLeft w:val="0"/>
              <w:marRight w:val="0"/>
              <w:marTop w:val="0"/>
              <w:marBottom w:val="0"/>
              <w:divBdr>
                <w:top w:val="none" w:sz="0" w:space="0" w:color="auto"/>
                <w:left w:val="none" w:sz="0" w:space="0" w:color="auto"/>
                <w:bottom w:val="none" w:sz="0" w:space="0" w:color="auto"/>
                <w:right w:val="none" w:sz="0" w:space="0" w:color="auto"/>
              </w:divBdr>
            </w:div>
          </w:divsChild>
        </w:div>
        <w:div w:id="322242545">
          <w:marLeft w:val="0"/>
          <w:marRight w:val="0"/>
          <w:marTop w:val="0"/>
          <w:marBottom w:val="0"/>
          <w:divBdr>
            <w:top w:val="none" w:sz="0" w:space="0" w:color="auto"/>
            <w:left w:val="none" w:sz="0" w:space="0" w:color="auto"/>
            <w:bottom w:val="none" w:sz="0" w:space="0" w:color="auto"/>
            <w:right w:val="none" w:sz="0" w:space="0" w:color="auto"/>
          </w:divBdr>
          <w:divsChild>
            <w:div w:id="926579728">
              <w:marLeft w:val="0"/>
              <w:marRight w:val="0"/>
              <w:marTop w:val="0"/>
              <w:marBottom w:val="0"/>
              <w:divBdr>
                <w:top w:val="none" w:sz="0" w:space="0" w:color="auto"/>
                <w:left w:val="none" w:sz="0" w:space="0" w:color="auto"/>
                <w:bottom w:val="none" w:sz="0" w:space="0" w:color="auto"/>
                <w:right w:val="none" w:sz="0" w:space="0" w:color="auto"/>
              </w:divBdr>
            </w:div>
          </w:divsChild>
        </w:div>
        <w:div w:id="428087776">
          <w:marLeft w:val="0"/>
          <w:marRight w:val="0"/>
          <w:marTop w:val="0"/>
          <w:marBottom w:val="0"/>
          <w:divBdr>
            <w:top w:val="none" w:sz="0" w:space="0" w:color="auto"/>
            <w:left w:val="none" w:sz="0" w:space="0" w:color="auto"/>
            <w:bottom w:val="none" w:sz="0" w:space="0" w:color="auto"/>
            <w:right w:val="none" w:sz="0" w:space="0" w:color="auto"/>
          </w:divBdr>
          <w:divsChild>
            <w:div w:id="759831440">
              <w:marLeft w:val="0"/>
              <w:marRight w:val="0"/>
              <w:marTop w:val="0"/>
              <w:marBottom w:val="0"/>
              <w:divBdr>
                <w:top w:val="none" w:sz="0" w:space="0" w:color="auto"/>
                <w:left w:val="none" w:sz="0" w:space="0" w:color="auto"/>
                <w:bottom w:val="none" w:sz="0" w:space="0" w:color="auto"/>
                <w:right w:val="none" w:sz="0" w:space="0" w:color="auto"/>
              </w:divBdr>
            </w:div>
            <w:div w:id="1878622117">
              <w:marLeft w:val="0"/>
              <w:marRight w:val="0"/>
              <w:marTop w:val="0"/>
              <w:marBottom w:val="0"/>
              <w:divBdr>
                <w:top w:val="none" w:sz="0" w:space="0" w:color="auto"/>
                <w:left w:val="none" w:sz="0" w:space="0" w:color="auto"/>
                <w:bottom w:val="none" w:sz="0" w:space="0" w:color="auto"/>
                <w:right w:val="none" w:sz="0" w:space="0" w:color="auto"/>
              </w:divBdr>
            </w:div>
          </w:divsChild>
        </w:div>
        <w:div w:id="880941389">
          <w:marLeft w:val="0"/>
          <w:marRight w:val="0"/>
          <w:marTop w:val="0"/>
          <w:marBottom w:val="0"/>
          <w:divBdr>
            <w:top w:val="none" w:sz="0" w:space="0" w:color="auto"/>
            <w:left w:val="none" w:sz="0" w:space="0" w:color="auto"/>
            <w:bottom w:val="none" w:sz="0" w:space="0" w:color="auto"/>
            <w:right w:val="none" w:sz="0" w:space="0" w:color="auto"/>
          </w:divBdr>
          <w:divsChild>
            <w:div w:id="999499118">
              <w:marLeft w:val="0"/>
              <w:marRight w:val="0"/>
              <w:marTop w:val="0"/>
              <w:marBottom w:val="0"/>
              <w:divBdr>
                <w:top w:val="none" w:sz="0" w:space="0" w:color="auto"/>
                <w:left w:val="none" w:sz="0" w:space="0" w:color="auto"/>
                <w:bottom w:val="none" w:sz="0" w:space="0" w:color="auto"/>
                <w:right w:val="none" w:sz="0" w:space="0" w:color="auto"/>
              </w:divBdr>
            </w:div>
            <w:div w:id="2043817762">
              <w:marLeft w:val="0"/>
              <w:marRight w:val="0"/>
              <w:marTop w:val="0"/>
              <w:marBottom w:val="0"/>
              <w:divBdr>
                <w:top w:val="none" w:sz="0" w:space="0" w:color="auto"/>
                <w:left w:val="none" w:sz="0" w:space="0" w:color="auto"/>
                <w:bottom w:val="none" w:sz="0" w:space="0" w:color="auto"/>
                <w:right w:val="none" w:sz="0" w:space="0" w:color="auto"/>
              </w:divBdr>
            </w:div>
          </w:divsChild>
        </w:div>
        <w:div w:id="1232084726">
          <w:marLeft w:val="0"/>
          <w:marRight w:val="0"/>
          <w:marTop w:val="0"/>
          <w:marBottom w:val="0"/>
          <w:divBdr>
            <w:top w:val="none" w:sz="0" w:space="0" w:color="auto"/>
            <w:left w:val="none" w:sz="0" w:space="0" w:color="auto"/>
            <w:bottom w:val="none" w:sz="0" w:space="0" w:color="auto"/>
            <w:right w:val="none" w:sz="0" w:space="0" w:color="auto"/>
          </w:divBdr>
          <w:divsChild>
            <w:div w:id="813639868">
              <w:marLeft w:val="0"/>
              <w:marRight w:val="0"/>
              <w:marTop w:val="0"/>
              <w:marBottom w:val="0"/>
              <w:divBdr>
                <w:top w:val="none" w:sz="0" w:space="0" w:color="auto"/>
                <w:left w:val="none" w:sz="0" w:space="0" w:color="auto"/>
                <w:bottom w:val="none" w:sz="0" w:space="0" w:color="auto"/>
                <w:right w:val="none" w:sz="0" w:space="0" w:color="auto"/>
              </w:divBdr>
            </w:div>
          </w:divsChild>
        </w:div>
        <w:div w:id="292101959">
          <w:marLeft w:val="0"/>
          <w:marRight w:val="0"/>
          <w:marTop w:val="0"/>
          <w:marBottom w:val="0"/>
          <w:divBdr>
            <w:top w:val="none" w:sz="0" w:space="0" w:color="auto"/>
            <w:left w:val="none" w:sz="0" w:space="0" w:color="auto"/>
            <w:bottom w:val="none" w:sz="0" w:space="0" w:color="auto"/>
            <w:right w:val="none" w:sz="0" w:space="0" w:color="auto"/>
          </w:divBdr>
          <w:divsChild>
            <w:div w:id="1490247597">
              <w:marLeft w:val="0"/>
              <w:marRight w:val="0"/>
              <w:marTop w:val="0"/>
              <w:marBottom w:val="0"/>
              <w:divBdr>
                <w:top w:val="none" w:sz="0" w:space="0" w:color="auto"/>
                <w:left w:val="none" w:sz="0" w:space="0" w:color="auto"/>
                <w:bottom w:val="none" w:sz="0" w:space="0" w:color="auto"/>
                <w:right w:val="none" w:sz="0" w:space="0" w:color="auto"/>
              </w:divBdr>
            </w:div>
          </w:divsChild>
        </w:div>
        <w:div w:id="699819698">
          <w:marLeft w:val="0"/>
          <w:marRight w:val="0"/>
          <w:marTop w:val="0"/>
          <w:marBottom w:val="0"/>
          <w:divBdr>
            <w:top w:val="none" w:sz="0" w:space="0" w:color="auto"/>
            <w:left w:val="none" w:sz="0" w:space="0" w:color="auto"/>
            <w:bottom w:val="none" w:sz="0" w:space="0" w:color="auto"/>
            <w:right w:val="none" w:sz="0" w:space="0" w:color="auto"/>
          </w:divBdr>
          <w:divsChild>
            <w:div w:id="2120567157">
              <w:marLeft w:val="0"/>
              <w:marRight w:val="0"/>
              <w:marTop w:val="0"/>
              <w:marBottom w:val="0"/>
              <w:divBdr>
                <w:top w:val="none" w:sz="0" w:space="0" w:color="auto"/>
                <w:left w:val="none" w:sz="0" w:space="0" w:color="auto"/>
                <w:bottom w:val="none" w:sz="0" w:space="0" w:color="auto"/>
                <w:right w:val="none" w:sz="0" w:space="0" w:color="auto"/>
              </w:divBdr>
            </w:div>
          </w:divsChild>
        </w:div>
        <w:div w:id="2076972603">
          <w:marLeft w:val="0"/>
          <w:marRight w:val="0"/>
          <w:marTop w:val="0"/>
          <w:marBottom w:val="0"/>
          <w:divBdr>
            <w:top w:val="none" w:sz="0" w:space="0" w:color="auto"/>
            <w:left w:val="none" w:sz="0" w:space="0" w:color="auto"/>
            <w:bottom w:val="none" w:sz="0" w:space="0" w:color="auto"/>
            <w:right w:val="none" w:sz="0" w:space="0" w:color="auto"/>
          </w:divBdr>
          <w:divsChild>
            <w:div w:id="16019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3429">
      <w:bodyDiv w:val="1"/>
      <w:marLeft w:val="0"/>
      <w:marRight w:val="0"/>
      <w:marTop w:val="0"/>
      <w:marBottom w:val="0"/>
      <w:divBdr>
        <w:top w:val="none" w:sz="0" w:space="0" w:color="auto"/>
        <w:left w:val="none" w:sz="0" w:space="0" w:color="auto"/>
        <w:bottom w:val="none" w:sz="0" w:space="0" w:color="auto"/>
        <w:right w:val="none" w:sz="0" w:space="0" w:color="auto"/>
      </w:divBdr>
    </w:div>
    <w:div w:id="1541086881">
      <w:bodyDiv w:val="1"/>
      <w:marLeft w:val="0"/>
      <w:marRight w:val="0"/>
      <w:marTop w:val="0"/>
      <w:marBottom w:val="0"/>
      <w:divBdr>
        <w:top w:val="none" w:sz="0" w:space="0" w:color="auto"/>
        <w:left w:val="none" w:sz="0" w:space="0" w:color="auto"/>
        <w:bottom w:val="none" w:sz="0" w:space="0" w:color="auto"/>
        <w:right w:val="none" w:sz="0" w:space="0" w:color="auto"/>
      </w:divBdr>
    </w:div>
    <w:div w:id="1646624586">
      <w:bodyDiv w:val="1"/>
      <w:marLeft w:val="0"/>
      <w:marRight w:val="0"/>
      <w:marTop w:val="0"/>
      <w:marBottom w:val="0"/>
      <w:divBdr>
        <w:top w:val="none" w:sz="0" w:space="0" w:color="auto"/>
        <w:left w:val="none" w:sz="0" w:space="0" w:color="auto"/>
        <w:bottom w:val="none" w:sz="0" w:space="0" w:color="auto"/>
        <w:right w:val="none" w:sz="0" w:space="0" w:color="auto"/>
      </w:divBdr>
    </w:div>
    <w:div w:id="1839887325">
      <w:bodyDiv w:val="1"/>
      <w:marLeft w:val="0"/>
      <w:marRight w:val="0"/>
      <w:marTop w:val="0"/>
      <w:marBottom w:val="0"/>
      <w:divBdr>
        <w:top w:val="none" w:sz="0" w:space="0" w:color="auto"/>
        <w:left w:val="none" w:sz="0" w:space="0" w:color="auto"/>
        <w:bottom w:val="none" w:sz="0" w:space="0" w:color="auto"/>
        <w:right w:val="none" w:sz="0" w:space="0" w:color="auto"/>
      </w:divBdr>
    </w:div>
    <w:div w:id="2005014655">
      <w:bodyDiv w:val="1"/>
      <w:marLeft w:val="0"/>
      <w:marRight w:val="0"/>
      <w:marTop w:val="0"/>
      <w:marBottom w:val="0"/>
      <w:divBdr>
        <w:top w:val="none" w:sz="0" w:space="0" w:color="auto"/>
        <w:left w:val="none" w:sz="0" w:space="0" w:color="auto"/>
        <w:bottom w:val="none" w:sz="0" w:space="0" w:color="auto"/>
        <w:right w:val="none" w:sz="0" w:space="0" w:color="auto"/>
      </w:divBdr>
    </w:div>
    <w:div w:id="213636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mhneeds.co.uk/understanding-the-impact-of-semh-needs-on-learning" TargetMode="External"/><Relationship Id="rId7" Type="http://schemas.openxmlformats.org/officeDocument/2006/relationships/webSettings" Target="webSettings.xml"/><Relationship Id="rId12" Type="http://schemas.openxmlformats.org/officeDocument/2006/relationships/hyperlink" Target="https://d2tic4wvo1iusb.cloudfront.net/production/documents/news/Diagnostic_Assessment_Tool.pdf?v=1697619973"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d2tic4wvo1iusb.cloudfront.net/production/eef-guidance-reports/primary-sel/EEF_Social_and_Emotional_Learning.pdf?v=175820759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projects-and-evaluation/projects/helping-handwriting-shine?utm_source=/projects-and-evaluation/projects/helping-handwriting-shine&amp;utm_medium=search&amp;utm_campaign=site_search&amp;search_term=handwriting" TargetMode="External"/><Relationship Id="rId23" Type="http://schemas.openxmlformats.org/officeDocument/2006/relationships/hyperlink" Target="https://d2tic4wvo1iusb.cloudfront.net/production/eef-guidance-reports/supporting-parents/EEF_Parental_Engagement_Guidance_Report.pdf?v=1758203982"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gov.uk/government/publications/working-together-to-improve-school-attendanc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2tic4wvo1iusb.cloudfront.net/production/eef-guidance-reports/early-maths/EEF_Maths_EY_KS1_Guidance_Report.pdf?v=1758203647" TargetMode="External"/><Relationship Id="rId22" Type="http://schemas.openxmlformats.org/officeDocument/2006/relationships/hyperlink" Target="https://www.gov.uk/government/publications/extra-curricular-activities-soft-skills-and-social-mobility/an-unequal-playing-field-extra-curricular-activities-soft-skills-and-social-mobility"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F8A214A890304FA209D4C157185A11" ma:contentTypeVersion="18" ma:contentTypeDescription="Create a new document." ma:contentTypeScope="" ma:versionID="5ca810dec1387373b870c9d5211e0c5d">
  <xsd:schema xmlns:xsd="http://www.w3.org/2001/XMLSchema" xmlns:xs="http://www.w3.org/2001/XMLSchema" xmlns:p="http://schemas.microsoft.com/office/2006/metadata/properties" xmlns:ns2="ed26c261-a7f6-4c8d-85b5-72b89f67a2a0" xmlns:ns3="51060263-f1ed-4c01-b497-913cd3f1e8b0" targetNamespace="http://schemas.microsoft.com/office/2006/metadata/properties" ma:root="true" ma:fieldsID="11a7fd97fed10427b5dcaa521527a435" ns2:_="" ns3:_="">
    <xsd:import namespace="ed26c261-a7f6-4c8d-85b5-72b89f67a2a0"/>
    <xsd:import namespace="51060263-f1ed-4c01-b497-913cd3f1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6c261-a7f6-4c8d-85b5-72b89f67a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60263-f1ed-4c01-b497-913cd3f1e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2b74c-02e4-4c6b-a6c6-30ce425e337f}" ma:internalName="TaxCatchAll" ma:showField="CatchAllData" ma:web="51060263-f1ed-4c01-b497-913cd3f1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26c261-a7f6-4c8d-85b5-72b89f67a2a0">
      <Terms xmlns="http://schemas.microsoft.com/office/infopath/2007/PartnerControls"/>
    </lcf76f155ced4ddcb4097134ff3c332f>
    <TaxCatchAll xmlns="51060263-f1ed-4c01-b497-913cd3f1e8b0" xsi:nil="true"/>
  </documentManagement>
</p:properties>
</file>

<file path=customXml/itemProps1.xml><?xml version="1.0" encoding="utf-8"?>
<ds:datastoreItem xmlns:ds="http://schemas.openxmlformats.org/officeDocument/2006/customXml" ds:itemID="{B678965B-2596-4434-BC2B-91328278458C}">
  <ds:schemaRefs>
    <ds:schemaRef ds:uri="http://schemas.microsoft.com/sharepoint/v3/contenttype/forms"/>
  </ds:schemaRefs>
</ds:datastoreItem>
</file>

<file path=customXml/itemProps2.xml><?xml version="1.0" encoding="utf-8"?>
<ds:datastoreItem xmlns:ds="http://schemas.openxmlformats.org/officeDocument/2006/customXml" ds:itemID="{42D75AAC-4785-4339-926D-8679BCDDD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6c261-a7f6-4c8d-85b5-72b89f67a2a0"/>
    <ds:schemaRef ds:uri="51060263-f1ed-4c01-b497-913cd3f1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95654-47F4-43D2-AB6E-E61BBC6462F5}">
  <ds:schemaRefs>
    <ds:schemaRef ds:uri="http://schemas.microsoft.com/office/2006/metadata/properties"/>
    <ds:schemaRef ds:uri="http://schemas.microsoft.com/office/infopath/2007/PartnerControls"/>
    <ds:schemaRef ds:uri="ed26c261-a7f6-4c8d-85b5-72b89f67a2a0"/>
    <ds:schemaRef ds:uri="51060263-f1ed-4c01-b497-913cd3f1e8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2315</Words>
  <Characters>13522</Characters>
  <Application>Microsoft Office Word</Application>
  <DocSecurity>0</DocSecurity>
  <Lines>540</Lines>
  <Paragraphs>251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Samuel Garrood</cp:lastModifiedBy>
  <cp:revision>5</cp:revision>
  <cp:lastPrinted>2014-09-18T05:26:00Z</cp:lastPrinted>
  <dcterms:created xsi:type="dcterms:W3CDTF">2026-01-15T10:38:00Z</dcterms:created>
  <dcterms:modified xsi:type="dcterms:W3CDTF">2026-01-15T11:41:00Z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0x01010011F8A214A890304FA209D4C157185A11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